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C3" w:rsidRPr="00610D95" w:rsidRDefault="00DD1207" w:rsidP="00610D95">
      <w:pPr>
        <w:spacing w:after="0" w:line="240" w:lineRule="auto"/>
        <w:jc w:val="center"/>
        <w:rPr>
          <w:rFonts w:ascii="Arial" w:hAnsi="Arial" w:cs="Arial"/>
          <w:b/>
          <w:smallCaps/>
        </w:rPr>
      </w:pPr>
      <w:r>
        <w:rPr>
          <w:rFonts w:ascii="Arial" w:hAnsi="Arial" w:cs="Arial"/>
          <w:b/>
          <w:smallCaps/>
        </w:rPr>
        <w:t>Propuestas para el cumplimiento de algunas</w:t>
      </w:r>
      <w:r w:rsidR="00610D95" w:rsidRPr="00610D95">
        <w:rPr>
          <w:rFonts w:ascii="Arial" w:hAnsi="Arial" w:cs="Arial"/>
          <w:b/>
          <w:smallCaps/>
        </w:rPr>
        <w:t xml:space="preserve"> políticas institucionales</w:t>
      </w:r>
    </w:p>
    <w:p w:rsidR="00610D95" w:rsidRDefault="00610D95" w:rsidP="00A348C3">
      <w:pPr>
        <w:spacing w:after="0" w:line="240" w:lineRule="auto"/>
        <w:rPr>
          <w:rFonts w:ascii="Arial" w:hAnsi="Arial" w:cs="Arial"/>
        </w:rPr>
      </w:pPr>
    </w:p>
    <w:p w:rsidR="00610D95" w:rsidRDefault="00610D95" w:rsidP="00A348C3">
      <w:pPr>
        <w:spacing w:after="0" w:line="240" w:lineRule="auto"/>
        <w:rPr>
          <w:rFonts w:ascii="Arial" w:hAnsi="Arial" w:cs="Arial"/>
        </w:rPr>
      </w:pPr>
    </w:p>
    <w:tbl>
      <w:tblPr>
        <w:tblStyle w:val="Tablaconcuadrcula"/>
        <w:tblW w:w="13575" w:type="dxa"/>
        <w:tblLook w:val="04A0" w:firstRow="1" w:lastRow="0" w:firstColumn="1" w:lastColumn="0" w:noHBand="0" w:noVBand="1"/>
      </w:tblPr>
      <w:tblGrid>
        <w:gridCol w:w="5211"/>
        <w:gridCol w:w="4111"/>
        <w:gridCol w:w="4253"/>
      </w:tblGrid>
      <w:tr w:rsidR="00D0777B" w:rsidRPr="00A348C3" w:rsidTr="00D0777B">
        <w:trPr>
          <w:tblHeader/>
        </w:trPr>
        <w:tc>
          <w:tcPr>
            <w:tcW w:w="5211" w:type="dxa"/>
            <w:shd w:val="pct25" w:color="auto" w:fill="auto"/>
          </w:tcPr>
          <w:p w:rsidR="00610D95" w:rsidRPr="00A348C3" w:rsidRDefault="00610D95" w:rsidP="00AE417C">
            <w:pPr>
              <w:jc w:val="center"/>
              <w:rPr>
                <w:rFonts w:ascii="Arial" w:hAnsi="Arial" w:cs="Arial"/>
                <w:b/>
              </w:rPr>
            </w:pPr>
            <w:r>
              <w:rPr>
                <w:rFonts w:ascii="Arial" w:hAnsi="Arial" w:cs="Arial"/>
                <w:b/>
              </w:rPr>
              <w:t>Políticas Formación y Docencia</w:t>
            </w:r>
          </w:p>
        </w:tc>
        <w:tc>
          <w:tcPr>
            <w:tcW w:w="4111" w:type="dxa"/>
            <w:shd w:val="pct25" w:color="auto" w:fill="auto"/>
          </w:tcPr>
          <w:p w:rsidR="00610D95" w:rsidRPr="00A348C3" w:rsidRDefault="00610D95" w:rsidP="00AE417C">
            <w:pPr>
              <w:jc w:val="center"/>
              <w:rPr>
                <w:rFonts w:ascii="Arial" w:hAnsi="Arial" w:cs="Arial"/>
                <w:b/>
              </w:rPr>
            </w:pPr>
            <w:r>
              <w:rPr>
                <w:rFonts w:ascii="Arial" w:hAnsi="Arial" w:cs="Arial"/>
                <w:b/>
              </w:rPr>
              <w:t>Propuesta</w:t>
            </w:r>
          </w:p>
        </w:tc>
        <w:tc>
          <w:tcPr>
            <w:tcW w:w="4253" w:type="dxa"/>
            <w:shd w:val="pct25" w:color="auto" w:fill="auto"/>
          </w:tcPr>
          <w:p w:rsidR="00610D95" w:rsidRPr="00A348C3" w:rsidRDefault="00610D95" w:rsidP="00AE417C">
            <w:pPr>
              <w:jc w:val="center"/>
              <w:rPr>
                <w:rFonts w:ascii="Arial" w:hAnsi="Arial" w:cs="Arial"/>
                <w:b/>
              </w:rPr>
            </w:pPr>
            <w:r>
              <w:rPr>
                <w:rFonts w:ascii="Arial" w:hAnsi="Arial" w:cs="Arial"/>
                <w:b/>
              </w:rPr>
              <w:t>Comentario</w:t>
            </w:r>
          </w:p>
        </w:tc>
      </w:tr>
      <w:tr w:rsidR="00610D95" w:rsidRPr="00A348C3" w:rsidTr="00D0777B">
        <w:tc>
          <w:tcPr>
            <w:tcW w:w="5211" w:type="dxa"/>
          </w:tcPr>
          <w:p w:rsidR="00DD1207" w:rsidRDefault="00610D95" w:rsidP="00D0777B">
            <w:pPr>
              <w:jc w:val="both"/>
              <w:rPr>
                <w:rFonts w:ascii="Arial" w:hAnsi="Arial" w:cs="Arial"/>
                <w:b/>
              </w:rPr>
            </w:pPr>
            <w:r w:rsidRPr="00A348C3">
              <w:rPr>
                <w:rFonts w:ascii="Arial" w:hAnsi="Arial" w:cs="Arial"/>
                <w:b/>
              </w:rPr>
              <w:t>Modelo Educativo</w:t>
            </w:r>
          </w:p>
          <w:p w:rsidR="00DD1207" w:rsidRDefault="00DD1207" w:rsidP="00D0777B">
            <w:pPr>
              <w:jc w:val="both"/>
              <w:rPr>
                <w:rFonts w:ascii="Arial" w:hAnsi="Arial" w:cs="Arial"/>
                <w:b/>
              </w:rPr>
            </w:pPr>
          </w:p>
          <w:p w:rsidR="00DD1207" w:rsidRDefault="00DD1207" w:rsidP="00D0777B">
            <w:pPr>
              <w:jc w:val="both"/>
              <w:rPr>
                <w:rFonts w:ascii="Arial" w:hAnsi="Arial" w:cs="Arial"/>
                <w:b/>
              </w:rPr>
            </w:pPr>
          </w:p>
          <w:p w:rsidR="00610D95" w:rsidRDefault="00DD1207" w:rsidP="00D0777B">
            <w:pPr>
              <w:jc w:val="both"/>
              <w:rPr>
                <w:rFonts w:ascii="Arial" w:hAnsi="Arial" w:cs="Arial"/>
              </w:rPr>
            </w:pPr>
            <w:r>
              <w:rPr>
                <w:rFonts w:ascii="Arial" w:hAnsi="Arial" w:cs="Arial"/>
                <w:b/>
              </w:rPr>
              <w:t>Política</w:t>
            </w:r>
          </w:p>
          <w:p w:rsidR="00610D95" w:rsidRDefault="00610D95" w:rsidP="00D0777B">
            <w:pPr>
              <w:jc w:val="both"/>
              <w:rPr>
                <w:rFonts w:ascii="Arial" w:hAnsi="Arial" w:cs="Arial"/>
              </w:rPr>
            </w:pPr>
            <w:r>
              <w:rPr>
                <w:rFonts w:ascii="Arial" w:hAnsi="Arial" w:cs="Arial"/>
              </w:rPr>
              <w:t>Promover el modelo educativo enfocado en el estudiante y centrado en el aprendizaje, apoyado en las mejores prácticas pedagógicas y en las TIC.</w:t>
            </w:r>
          </w:p>
          <w:p w:rsidR="00610D95" w:rsidRDefault="00610D95" w:rsidP="00D0777B">
            <w:pPr>
              <w:jc w:val="both"/>
              <w:rPr>
                <w:rFonts w:ascii="Arial" w:hAnsi="Arial" w:cs="Arial"/>
              </w:rPr>
            </w:pPr>
          </w:p>
          <w:p w:rsidR="00610D95" w:rsidRPr="00A348C3" w:rsidRDefault="00610D95" w:rsidP="00D0777B">
            <w:pPr>
              <w:jc w:val="both"/>
              <w:rPr>
                <w:rFonts w:ascii="Arial" w:hAnsi="Arial" w:cs="Arial"/>
                <w:b/>
              </w:rPr>
            </w:pPr>
            <w:r w:rsidRPr="00A348C3">
              <w:rPr>
                <w:rFonts w:ascii="Arial" w:hAnsi="Arial" w:cs="Arial"/>
                <w:b/>
              </w:rPr>
              <w:t>Objetivo</w:t>
            </w:r>
            <w:r w:rsidR="005B6FBA">
              <w:rPr>
                <w:rFonts w:ascii="Arial" w:hAnsi="Arial" w:cs="Arial"/>
                <w:b/>
              </w:rPr>
              <w:t>s</w:t>
            </w:r>
            <w:r>
              <w:rPr>
                <w:rFonts w:ascii="Arial" w:hAnsi="Arial" w:cs="Arial"/>
                <w:b/>
              </w:rPr>
              <w:t xml:space="preserve"> y Estrategia</w:t>
            </w:r>
            <w:r w:rsidR="005B6FBA">
              <w:rPr>
                <w:rFonts w:ascii="Arial" w:hAnsi="Arial" w:cs="Arial"/>
                <w:b/>
              </w:rPr>
              <w:t>s</w:t>
            </w:r>
          </w:p>
          <w:p w:rsidR="00610D95" w:rsidRDefault="00610D95" w:rsidP="00D0777B">
            <w:pPr>
              <w:jc w:val="both"/>
              <w:rPr>
                <w:rFonts w:ascii="Arial" w:hAnsi="Arial" w:cs="Arial"/>
              </w:rPr>
            </w:pPr>
          </w:p>
          <w:p w:rsidR="005B6FBA" w:rsidRPr="005B6FBA" w:rsidRDefault="005B6FBA" w:rsidP="00D0777B">
            <w:pPr>
              <w:jc w:val="both"/>
              <w:rPr>
                <w:rFonts w:ascii="Arial" w:hAnsi="Arial" w:cs="Arial"/>
                <w:b/>
              </w:rPr>
            </w:pPr>
            <w:r w:rsidRPr="005B6FBA">
              <w:rPr>
                <w:rFonts w:ascii="Arial" w:hAnsi="Arial" w:cs="Arial"/>
                <w:b/>
              </w:rPr>
              <w:t xml:space="preserve">Objetivo </w:t>
            </w:r>
          </w:p>
          <w:p w:rsidR="005B6FBA" w:rsidRDefault="005B6FBA" w:rsidP="00D0777B">
            <w:pPr>
              <w:jc w:val="both"/>
              <w:rPr>
                <w:rFonts w:ascii="Arial" w:hAnsi="Arial" w:cs="Arial"/>
              </w:rPr>
            </w:pPr>
            <w:r>
              <w:rPr>
                <w:rFonts w:ascii="Arial" w:hAnsi="Arial" w:cs="Arial"/>
              </w:rPr>
              <w:t>2.1 Consolidar una planta de profesores de calidad reconocida nacional e internacionalmente.</w:t>
            </w:r>
          </w:p>
          <w:p w:rsidR="005B6FBA" w:rsidRDefault="005B6FBA" w:rsidP="00D0777B">
            <w:pPr>
              <w:jc w:val="both"/>
              <w:rPr>
                <w:rFonts w:ascii="Arial" w:hAnsi="Arial" w:cs="Arial"/>
              </w:rPr>
            </w:pPr>
          </w:p>
          <w:p w:rsidR="005B6FBA" w:rsidRPr="005B6FBA" w:rsidRDefault="005B6FBA" w:rsidP="00D0777B">
            <w:pPr>
              <w:jc w:val="both"/>
              <w:rPr>
                <w:rFonts w:ascii="Arial" w:hAnsi="Arial" w:cs="Arial"/>
                <w:b/>
              </w:rPr>
            </w:pPr>
            <w:r w:rsidRPr="005B6FBA">
              <w:rPr>
                <w:rFonts w:ascii="Arial" w:hAnsi="Arial" w:cs="Arial"/>
                <w:b/>
              </w:rPr>
              <w:t>Estrategia</w:t>
            </w:r>
          </w:p>
          <w:p w:rsidR="00610D95" w:rsidRPr="00336976" w:rsidRDefault="00610D95" w:rsidP="00D0777B">
            <w:pPr>
              <w:jc w:val="both"/>
              <w:rPr>
                <w:rFonts w:ascii="Arial" w:hAnsi="Arial" w:cs="Arial"/>
                <w:b/>
              </w:rPr>
            </w:pPr>
            <w:r>
              <w:rPr>
                <w:rFonts w:ascii="Arial" w:hAnsi="Arial" w:cs="Arial"/>
              </w:rPr>
              <w:t xml:space="preserve">2.1.1 Promover las competencias pedagógicas y disciplinares, acorde al </w:t>
            </w:r>
            <w:r w:rsidRPr="00336976">
              <w:rPr>
                <w:rFonts w:ascii="Arial" w:hAnsi="Arial" w:cs="Arial"/>
                <w:b/>
              </w:rPr>
              <w:t>modelo educativo institucional.</w:t>
            </w:r>
          </w:p>
          <w:p w:rsidR="005B6FBA" w:rsidRDefault="005B6FBA" w:rsidP="00D0777B">
            <w:pPr>
              <w:jc w:val="both"/>
              <w:rPr>
                <w:rFonts w:ascii="Arial" w:hAnsi="Arial" w:cs="Arial"/>
              </w:rPr>
            </w:pPr>
          </w:p>
          <w:p w:rsidR="00610D95" w:rsidRPr="005B6FBA" w:rsidRDefault="005B6FBA" w:rsidP="00D0777B">
            <w:pPr>
              <w:jc w:val="both"/>
              <w:rPr>
                <w:rFonts w:ascii="Arial" w:hAnsi="Arial" w:cs="Arial"/>
                <w:b/>
              </w:rPr>
            </w:pPr>
            <w:r w:rsidRPr="005B6FBA">
              <w:rPr>
                <w:rFonts w:ascii="Arial" w:hAnsi="Arial" w:cs="Arial"/>
                <w:b/>
              </w:rPr>
              <w:t>Objetivo</w:t>
            </w:r>
          </w:p>
          <w:p w:rsidR="005B6FBA" w:rsidRDefault="005B6FBA" w:rsidP="00D0777B">
            <w:pPr>
              <w:jc w:val="both"/>
              <w:rPr>
                <w:rFonts w:ascii="Arial" w:hAnsi="Arial" w:cs="Arial"/>
              </w:rPr>
            </w:pPr>
            <w:r>
              <w:rPr>
                <w:rFonts w:ascii="Arial" w:hAnsi="Arial" w:cs="Arial"/>
              </w:rPr>
              <w:t xml:space="preserve">2.3 Llevar a cabo una reforma curricular </w:t>
            </w:r>
            <w:proofErr w:type="gramStart"/>
            <w:r>
              <w:rPr>
                <w:rFonts w:ascii="Arial" w:hAnsi="Arial" w:cs="Arial"/>
              </w:rPr>
              <w:t>basado</w:t>
            </w:r>
            <w:proofErr w:type="gramEnd"/>
            <w:r>
              <w:rPr>
                <w:rFonts w:ascii="Arial" w:hAnsi="Arial" w:cs="Arial"/>
              </w:rPr>
              <w:t xml:space="preserve"> en la innovación, la flexibilidad y las necesidades sociales.</w:t>
            </w:r>
          </w:p>
          <w:p w:rsidR="005B6FBA" w:rsidRDefault="005B6FBA" w:rsidP="00D0777B">
            <w:pPr>
              <w:jc w:val="both"/>
              <w:rPr>
                <w:rFonts w:ascii="Arial" w:hAnsi="Arial" w:cs="Arial"/>
              </w:rPr>
            </w:pPr>
          </w:p>
          <w:p w:rsidR="005B6FBA" w:rsidRPr="005B6FBA" w:rsidRDefault="005B6FBA" w:rsidP="00D0777B">
            <w:pPr>
              <w:jc w:val="both"/>
              <w:rPr>
                <w:rFonts w:ascii="Arial" w:hAnsi="Arial" w:cs="Arial"/>
                <w:b/>
              </w:rPr>
            </w:pPr>
            <w:r w:rsidRPr="005B6FBA">
              <w:rPr>
                <w:rFonts w:ascii="Arial" w:hAnsi="Arial" w:cs="Arial"/>
                <w:b/>
              </w:rPr>
              <w:t>Estrategia</w:t>
            </w:r>
            <w:r>
              <w:rPr>
                <w:rFonts w:ascii="Arial" w:hAnsi="Arial" w:cs="Arial"/>
                <w:b/>
              </w:rPr>
              <w:t>s</w:t>
            </w:r>
          </w:p>
          <w:p w:rsidR="00610D95" w:rsidRDefault="00610D95" w:rsidP="00D0777B">
            <w:pPr>
              <w:jc w:val="both"/>
              <w:rPr>
                <w:rFonts w:ascii="Arial" w:hAnsi="Arial" w:cs="Arial"/>
              </w:rPr>
            </w:pPr>
            <w:r w:rsidRPr="005B71E1">
              <w:rPr>
                <w:rFonts w:ascii="Arial" w:hAnsi="Arial" w:cs="Arial"/>
              </w:rPr>
              <w:t>2.3.1</w:t>
            </w:r>
            <w:r>
              <w:rPr>
                <w:rFonts w:ascii="Arial" w:hAnsi="Arial" w:cs="Arial"/>
                <w:b/>
              </w:rPr>
              <w:t xml:space="preserve"> </w:t>
            </w:r>
            <w:r w:rsidRPr="00A348C3">
              <w:rPr>
                <w:rFonts w:ascii="Arial" w:hAnsi="Arial" w:cs="Arial"/>
                <w:b/>
              </w:rPr>
              <w:t>Actualizar el modelo educativo</w:t>
            </w:r>
            <w:r>
              <w:rPr>
                <w:rFonts w:ascii="Arial" w:hAnsi="Arial" w:cs="Arial"/>
              </w:rPr>
              <w:t>, como base para la reforma curricular.</w:t>
            </w:r>
          </w:p>
          <w:p w:rsidR="00610D95" w:rsidRDefault="00610D95" w:rsidP="00D0777B">
            <w:pPr>
              <w:jc w:val="both"/>
              <w:rPr>
                <w:rFonts w:ascii="Arial" w:hAnsi="Arial" w:cs="Arial"/>
              </w:rPr>
            </w:pPr>
          </w:p>
          <w:p w:rsidR="00610D95" w:rsidRDefault="00610D95" w:rsidP="00D0777B">
            <w:pPr>
              <w:jc w:val="both"/>
              <w:rPr>
                <w:rFonts w:ascii="Arial" w:hAnsi="Arial" w:cs="Arial"/>
              </w:rPr>
            </w:pPr>
            <w:r>
              <w:rPr>
                <w:rFonts w:ascii="Arial" w:hAnsi="Arial" w:cs="Arial"/>
              </w:rPr>
              <w:t xml:space="preserve">2.3.3 Impulsar la reforma y la actualización curricular, tomando en cuenta las tendencias </w:t>
            </w:r>
            <w:r>
              <w:rPr>
                <w:rFonts w:ascii="Arial" w:hAnsi="Arial" w:cs="Arial"/>
              </w:rPr>
              <w:lastRenderedPageBreak/>
              <w:t>nacionales e internacionales de educación.</w:t>
            </w:r>
          </w:p>
          <w:p w:rsidR="00610D95" w:rsidRPr="00A348C3" w:rsidRDefault="00610D95" w:rsidP="00D0777B">
            <w:pPr>
              <w:jc w:val="both"/>
              <w:rPr>
                <w:rFonts w:ascii="Arial" w:hAnsi="Arial" w:cs="Arial"/>
              </w:rPr>
            </w:pPr>
          </w:p>
        </w:tc>
        <w:tc>
          <w:tcPr>
            <w:tcW w:w="4111" w:type="dxa"/>
          </w:tcPr>
          <w:p w:rsidR="00610D95" w:rsidRDefault="00610D95" w:rsidP="00D0777B">
            <w:pPr>
              <w:jc w:val="both"/>
              <w:rPr>
                <w:rFonts w:ascii="Arial" w:hAnsi="Arial" w:cs="Arial"/>
              </w:rPr>
            </w:pPr>
            <w:r>
              <w:rPr>
                <w:rFonts w:ascii="Arial" w:hAnsi="Arial" w:cs="Arial"/>
              </w:rPr>
              <w:lastRenderedPageBreak/>
              <w:t>Integrar una comisión del Consejo de Rectores, que tenga el apoyo de un comité técnico de expertos para elaborar un documento que actualice el modelo educativo.</w:t>
            </w:r>
          </w:p>
          <w:p w:rsidR="00610D95" w:rsidRDefault="00610D95" w:rsidP="00D0777B">
            <w:pPr>
              <w:jc w:val="both"/>
              <w:rPr>
                <w:rFonts w:ascii="Arial" w:hAnsi="Arial" w:cs="Arial"/>
              </w:rPr>
            </w:pPr>
          </w:p>
          <w:p w:rsidR="00610D95" w:rsidRPr="00A348C3" w:rsidRDefault="00610D95" w:rsidP="00D0777B">
            <w:pPr>
              <w:jc w:val="both"/>
              <w:rPr>
                <w:rFonts w:ascii="Arial" w:hAnsi="Arial" w:cs="Arial"/>
              </w:rPr>
            </w:pPr>
            <w:r>
              <w:rPr>
                <w:rFonts w:ascii="Arial" w:hAnsi="Arial" w:cs="Arial"/>
              </w:rPr>
              <w:t>El Mtro. Manuel Moreno Castañeda está trabajando en un documento inicial.</w:t>
            </w:r>
            <w:bookmarkStart w:id="0" w:name="_GoBack"/>
            <w:bookmarkEnd w:id="0"/>
          </w:p>
        </w:tc>
        <w:tc>
          <w:tcPr>
            <w:tcW w:w="4253" w:type="dxa"/>
          </w:tcPr>
          <w:p w:rsidR="00610D95" w:rsidRDefault="00610D95" w:rsidP="00D0777B">
            <w:pPr>
              <w:jc w:val="both"/>
              <w:rPr>
                <w:rFonts w:ascii="Arial" w:hAnsi="Arial" w:cs="Arial"/>
              </w:rPr>
            </w:pPr>
            <w:r>
              <w:rPr>
                <w:rFonts w:ascii="Arial" w:hAnsi="Arial" w:cs="Arial"/>
              </w:rPr>
              <w:t>Es un documento importante  para el desarrollo de los programas educativos.</w:t>
            </w:r>
          </w:p>
          <w:p w:rsidR="00610D95" w:rsidRDefault="00610D95" w:rsidP="00D0777B">
            <w:pPr>
              <w:jc w:val="both"/>
              <w:rPr>
                <w:rFonts w:ascii="Arial" w:hAnsi="Arial" w:cs="Arial"/>
              </w:rPr>
            </w:pPr>
          </w:p>
          <w:p w:rsidR="00610D95" w:rsidRDefault="00610D95" w:rsidP="00D0777B">
            <w:pPr>
              <w:jc w:val="both"/>
              <w:rPr>
                <w:rFonts w:ascii="Arial" w:hAnsi="Arial" w:cs="Arial"/>
              </w:rPr>
            </w:pPr>
            <w:r>
              <w:rPr>
                <w:rFonts w:ascii="Arial" w:hAnsi="Arial" w:cs="Arial"/>
              </w:rPr>
              <w:t>Pero sobre todo, es la base para la actualización de los planes de estudio (PDI)</w:t>
            </w:r>
          </w:p>
          <w:p w:rsidR="00610D95" w:rsidRDefault="00610D95" w:rsidP="00D0777B">
            <w:pPr>
              <w:jc w:val="both"/>
              <w:rPr>
                <w:rFonts w:ascii="Arial" w:hAnsi="Arial" w:cs="Arial"/>
              </w:rPr>
            </w:pPr>
          </w:p>
          <w:p w:rsidR="00610D95" w:rsidRPr="00A348C3" w:rsidRDefault="00610D95" w:rsidP="00D0777B">
            <w:pPr>
              <w:jc w:val="both"/>
              <w:rPr>
                <w:rFonts w:ascii="Arial" w:hAnsi="Arial" w:cs="Arial"/>
              </w:rPr>
            </w:pPr>
            <w:r>
              <w:rPr>
                <w:rFonts w:ascii="Arial" w:hAnsi="Arial" w:cs="Arial"/>
              </w:rPr>
              <w:t>Además de ser requerido por los organismos acreditadores.</w:t>
            </w:r>
          </w:p>
        </w:tc>
      </w:tr>
      <w:tr w:rsidR="00610D95" w:rsidRPr="00A348C3" w:rsidTr="00D0777B">
        <w:tc>
          <w:tcPr>
            <w:tcW w:w="5211" w:type="dxa"/>
          </w:tcPr>
          <w:p w:rsidR="00610D95" w:rsidRPr="00A348C3" w:rsidRDefault="00610D95" w:rsidP="00D0777B">
            <w:pPr>
              <w:jc w:val="both"/>
              <w:rPr>
                <w:rFonts w:ascii="Arial" w:hAnsi="Arial" w:cs="Arial"/>
                <w:b/>
              </w:rPr>
            </w:pPr>
            <w:r w:rsidRPr="00A348C3">
              <w:rPr>
                <w:rFonts w:ascii="Arial" w:hAnsi="Arial" w:cs="Arial"/>
                <w:b/>
              </w:rPr>
              <w:lastRenderedPageBreak/>
              <w:t>Enfoque de Competencias</w:t>
            </w:r>
          </w:p>
          <w:p w:rsidR="00610D95" w:rsidRDefault="00610D95" w:rsidP="00D0777B">
            <w:pPr>
              <w:jc w:val="both"/>
              <w:rPr>
                <w:rFonts w:ascii="Arial" w:hAnsi="Arial" w:cs="Arial"/>
              </w:rPr>
            </w:pPr>
          </w:p>
          <w:p w:rsidR="00610D95" w:rsidRDefault="00610D95" w:rsidP="00D0777B">
            <w:pPr>
              <w:jc w:val="both"/>
              <w:rPr>
                <w:rFonts w:ascii="Arial" w:hAnsi="Arial" w:cs="Arial"/>
              </w:rPr>
            </w:pPr>
            <w:r>
              <w:rPr>
                <w:rFonts w:ascii="Arial" w:hAnsi="Arial" w:cs="Arial"/>
              </w:rPr>
              <w:t xml:space="preserve">En el rubro de políticas de formación y docencia, la Universidad de Guadalajara </w:t>
            </w:r>
            <w:r w:rsidRPr="00336976">
              <w:rPr>
                <w:rFonts w:ascii="Arial" w:hAnsi="Arial" w:cs="Arial"/>
                <w:b/>
              </w:rPr>
              <w:t>adoptó el enfoque de competencias</w:t>
            </w:r>
            <w:r>
              <w:rPr>
                <w:rFonts w:ascii="Arial" w:hAnsi="Arial" w:cs="Arial"/>
              </w:rPr>
              <w:t xml:space="preserve"> al definir como meta para el 2012, la actualización o modificación de los planes de estudio en un 80% con este enfoque.</w:t>
            </w:r>
          </w:p>
          <w:p w:rsidR="00610D95" w:rsidRPr="00A348C3" w:rsidRDefault="00610D95" w:rsidP="00D0777B">
            <w:pPr>
              <w:jc w:val="both"/>
              <w:rPr>
                <w:rFonts w:ascii="Arial" w:hAnsi="Arial" w:cs="Arial"/>
              </w:rPr>
            </w:pPr>
          </w:p>
        </w:tc>
        <w:tc>
          <w:tcPr>
            <w:tcW w:w="4111" w:type="dxa"/>
          </w:tcPr>
          <w:p w:rsidR="00610D95" w:rsidRDefault="00610D95" w:rsidP="00D0777B">
            <w:pPr>
              <w:jc w:val="both"/>
              <w:rPr>
                <w:rFonts w:ascii="Arial" w:hAnsi="Arial" w:cs="Arial"/>
              </w:rPr>
            </w:pPr>
            <w:r>
              <w:rPr>
                <w:rFonts w:ascii="Arial" w:hAnsi="Arial" w:cs="Arial"/>
              </w:rPr>
              <w:t>Integrar una comisión del Consejo de Rectores, que tenga el apoyo de un comité técnico de expertos para:</w:t>
            </w:r>
          </w:p>
          <w:p w:rsidR="00610D95" w:rsidRDefault="00610D95" w:rsidP="00D0777B">
            <w:pPr>
              <w:jc w:val="both"/>
              <w:rPr>
                <w:rFonts w:ascii="Arial" w:hAnsi="Arial" w:cs="Arial"/>
              </w:rPr>
            </w:pPr>
          </w:p>
          <w:p w:rsidR="00610D95" w:rsidRPr="00D46EF4" w:rsidRDefault="00610D95" w:rsidP="00D0777B">
            <w:pPr>
              <w:pStyle w:val="Prrafodelista"/>
              <w:numPr>
                <w:ilvl w:val="0"/>
                <w:numId w:val="1"/>
              </w:numPr>
              <w:jc w:val="both"/>
              <w:rPr>
                <w:rFonts w:ascii="Arial" w:hAnsi="Arial" w:cs="Arial"/>
              </w:rPr>
            </w:pPr>
            <w:r>
              <w:rPr>
                <w:rFonts w:ascii="Arial" w:hAnsi="Arial" w:cs="Arial"/>
              </w:rPr>
              <w:t>A</w:t>
            </w:r>
            <w:r w:rsidRPr="00D46EF4">
              <w:rPr>
                <w:rFonts w:ascii="Arial" w:hAnsi="Arial" w:cs="Arial"/>
              </w:rPr>
              <w:t xml:space="preserve">nalizar el tema de los planes de estudio por competencias, las ventajas de esta tendencia y los retos en su implementación. </w:t>
            </w:r>
          </w:p>
          <w:p w:rsidR="00610D95" w:rsidRDefault="00610D95" w:rsidP="00D0777B">
            <w:pPr>
              <w:jc w:val="both"/>
              <w:rPr>
                <w:rFonts w:ascii="Arial" w:hAnsi="Arial" w:cs="Arial"/>
              </w:rPr>
            </w:pPr>
          </w:p>
          <w:p w:rsidR="00610D95" w:rsidRPr="00D46EF4" w:rsidRDefault="00610D95" w:rsidP="00D0777B">
            <w:pPr>
              <w:pStyle w:val="Prrafodelista"/>
              <w:numPr>
                <w:ilvl w:val="0"/>
                <w:numId w:val="1"/>
              </w:numPr>
              <w:jc w:val="both"/>
              <w:rPr>
                <w:rFonts w:ascii="Arial" w:hAnsi="Arial" w:cs="Arial"/>
              </w:rPr>
            </w:pPr>
            <w:r>
              <w:rPr>
                <w:rFonts w:ascii="Arial" w:hAnsi="Arial" w:cs="Arial"/>
              </w:rPr>
              <w:t>Proponer</w:t>
            </w:r>
            <w:r w:rsidRPr="00D46EF4">
              <w:rPr>
                <w:rFonts w:ascii="Arial" w:hAnsi="Arial" w:cs="Arial"/>
              </w:rPr>
              <w:t xml:space="preserve"> al Consejo de Rectores la estrategia para generar condiciones en la Red que permitan cumplir con las metas establecidas en el Plan de Desarrollo Institucional.</w:t>
            </w:r>
          </w:p>
          <w:p w:rsidR="00610D95" w:rsidRDefault="00610D95" w:rsidP="00D0777B">
            <w:pPr>
              <w:jc w:val="both"/>
              <w:rPr>
                <w:rFonts w:ascii="Arial" w:hAnsi="Arial" w:cs="Arial"/>
              </w:rPr>
            </w:pPr>
          </w:p>
          <w:p w:rsidR="00610D95" w:rsidRDefault="00610D95" w:rsidP="00D0777B">
            <w:pPr>
              <w:pStyle w:val="Prrafodelista"/>
              <w:numPr>
                <w:ilvl w:val="0"/>
                <w:numId w:val="1"/>
              </w:numPr>
              <w:jc w:val="both"/>
              <w:rPr>
                <w:rFonts w:ascii="Arial" w:hAnsi="Arial" w:cs="Arial"/>
              </w:rPr>
            </w:pPr>
            <w:r w:rsidRPr="00D90E7B">
              <w:rPr>
                <w:rFonts w:ascii="Arial" w:hAnsi="Arial" w:cs="Arial"/>
              </w:rPr>
              <w:t>En su defecto, elaborar un documento que sustente que el enfoque de competencias no es el adecuado. Y con base en ello, se realicen las modificaciones al PDI.</w:t>
            </w:r>
          </w:p>
          <w:p w:rsidR="007F6FCB" w:rsidRPr="00D46EF4" w:rsidRDefault="007F6FCB" w:rsidP="00D0777B">
            <w:pPr>
              <w:pStyle w:val="Prrafodelista"/>
              <w:jc w:val="both"/>
              <w:rPr>
                <w:rFonts w:ascii="Arial" w:hAnsi="Arial" w:cs="Arial"/>
              </w:rPr>
            </w:pPr>
          </w:p>
        </w:tc>
        <w:tc>
          <w:tcPr>
            <w:tcW w:w="4253" w:type="dxa"/>
          </w:tcPr>
          <w:p w:rsidR="00610D95" w:rsidRDefault="00610D95" w:rsidP="00D0777B">
            <w:pPr>
              <w:jc w:val="both"/>
              <w:rPr>
                <w:rFonts w:ascii="Arial" w:hAnsi="Arial" w:cs="Arial"/>
              </w:rPr>
            </w:pPr>
            <w:r>
              <w:rPr>
                <w:rFonts w:ascii="Arial" w:hAnsi="Arial" w:cs="Arial"/>
              </w:rPr>
              <w:t>La Comisión de Educación aprobó la modificación de los planes de estudio de carreras del área económico administrativas que no están diseñados por competencias.</w:t>
            </w:r>
          </w:p>
          <w:p w:rsidR="00610D95" w:rsidRDefault="00610D95" w:rsidP="00D0777B">
            <w:pPr>
              <w:jc w:val="both"/>
              <w:rPr>
                <w:rFonts w:ascii="Arial" w:hAnsi="Arial" w:cs="Arial"/>
              </w:rPr>
            </w:pPr>
          </w:p>
          <w:p w:rsidR="00610D95" w:rsidRDefault="00610D95" w:rsidP="00D0777B">
            <w:pPr>
              <w:jc w:val="both"/>
              <w:rPr>
                <w:rFonts w:ascii="Arial" w:hAnsi="Arial" w:cs="Arial"/>
              </w:rPr>
            </w:pPr>
            <w:r>
              <w:rPr>
                <w:rFonts w:ascii="Arial" w:hAnsi="Arial" w:cs="Arial"/>
              </w:rPr>
              <w:t>El enfoque de competencias es una tendencia que fue asumida como política federal a través de la Secretaría de Educación Pública.</w:t>
            </w:r>
          </w:p>
          <w:p w:rsidR="00610D95" w:rsidRDefault="00610D95" w:rsidP="00D0777B">
            <w:pPr>
              <w:jc w:val="both"/>
              <w:rPr>
                <w:rFonts w:ascii="Arial" w:hAnsi="Arial" w:cs="Arial"/>
              </w:rPr>
            </w:pPr>
          </w:p>
          <w:p w:rsidR="00610D95" w:rsidRDefault="00610D95" w:rsidP="00D0777B">
            <w:pPr>
              <w:jc w:val="both"/>
              <w:rPr>
                <w:rFonts w:ascii="Arial" w:hAnsi="Arial" w:cs="Arial"/>
              </w:rPr>
            </w:pPr>
            <w:r>
              <w:rPr>
                <w:rFonts w:ascii="Arial" w:hAnsi="Arial" w:cs="Arial"/>
              </w:rPr>
              <w:t>Por ello, los organismos acreditadores realizan recomendaciones para que los planes de estudio estén por competencias.</w:t>
            </w:r>
          </w:p>
          <w:p w:rsidR="00610D95" w:rsidRDefault="00610D95" w:rsidP="00D0777B">
            <w:pPr>
              <w:jc w:val="both"/>
              <w:rPr>
                <w:rFonts w:ascii="Arial" w:hAnsi="Arial" w:cs="Arial"/>
              </w:rPr>
            </w:pPr>
          </w:p>
          <w:p w:rsidR="00610D95" w:rsidRPr="00A348C3" w:rsidRDefault="00610D95" w:rsidP="00D0777B">
            <w:pPr>
              <w:jc w:val="both"/>
              <w:rPr>
                <w:rFonts w:ascii="Arial" w:hAnsi="Arial" w:cs="Arial"/>
              </w:rPr>
            </w:pPr>
          </w:p>
        </w:tc>
      </w:tr>
      <w:tr w:rsidR="00610D95" w:rsidRPr="00A348C3" w:rsidTr="00D0777B">
        <w:trPr>
          <w:trHeight w:val="789"/>
        </w:trPr>
        <w:tc>
          <w:tcPr>
            <w:tcW w:w="5211" w:type="dxa"/>
          </w:tcPr>
          <w:p w:rsidR="00610D95" w:rsidRPr="005B71E1" w:rsidRDefault="00610D95" w:rsidP="00D0777B">
            <w:pPr>
              <w:jc w:val="both"/>
              <w:rPr>
                <w:rFonts w:ascii="Arial" w:hAnsi="Arial" w:cs="Arial"/>
                <w:b/>
              </w:rPr>
            </w:pPr>
            <w:r w:rsidRPr="005B71E1">
              <w:rPr>
                <w:rFonts w:ascii="Arial" w:hAnsi="Arial" w:cs="Arial"/>
                <w:b/>
              </w:rPr>
              <w:t>Sistemas de créditos</w:t>
            </w:r>
          </w:p>
          <w:p w:rsidR="00610D95" w:rsidRDefault="00610D95" w:rsidP="00D0777B">
            <w:pPr>
              <w:jc w:val="both"/>
              <w:rPr>
                <w:rFonts w:ascii="Arial" w:hAnsi="Arial" w:cs="Arial"/>
              </w:rPr>
            </w:pPr>
          </w:p>
          <w:p w:rsidR="00610D95" w:rsidRDefault="00610D95" w:rsidP="00D0777B">
            <w:pPr>
              <w:jc w:val="both"/>
              <w:rPr>
                <w:rFonts w:ascii="Arial" w:hAnsi="Arial" w:cs="Arial"/>
                <w:b/>
              </w:rPr>
            </w:pPr>
            <w:r w:rsidRPr="005B71E1">
              <w:rPr>
                <w:rFonts w:ascii="Arial" w:hAnsi="Arial" w:cs="Arial"/>
                <w:b/>
              </w:rPr>
              <w:t>Objetivo</w:t>
            </w:r>
            <w:r w:rsidR="005B6FBA">
              <w:rPr>
                <w:rFonts w:ascii="Arial" w:hAnsi="Arial" w:cs="Arial"/>
                <w:b/>
              </w:rPr>
              <w:t>s y Estrategias</w:t>
            </w:r>
          </w:p>
          <w:p w:rsidR="005B6FBA" w:rsidRDefault="005B6FBA" w:rsidP="00D0777B">
            <w:pPr>
              <w:jc w:val="both"/>
              <w:rPr>
                <w:rFonts w:ascii="Arial" w:hAnsi="Arial" w:cs="Arial"/>
                <w:b/>
              </w:rPr>
            </w:pPr>
          </w:p>
          <w:p w:rsidR="005B6FBA" w:rsidRPr="005B71E1" w:rsidRDefault="005B6FBA" w:rsidP="00D0777B">
            <w:pPr>
              <w:jc w:val="both"/>
              <w:rPr>
                <w:rFonts w:ascii="Arial" w:hAnsi="Arial" w:cs="Arial"/>
                <w:b/>
              </w:rPr>
            </w:pPr>
            <w:r>
              <w:rPr>
                <w:rFonts w:ascii="Arial" w:hAnsi="Arial" w:cs="Arial"/>
                <w:b/>
              </w:rPr>
              <w:t>Objetivo</w:t>
            </w:r>
          </w:p>
          <w:p w:rsidR="00610D95" w:rsidRDefault="005B6FBA" w:rsidP="00D0777B">
            <w:pPr>
              <w:jc w:val="both"/>
              <w:rPr>
                <w:rFonts w:ascii="Arial" w:hAnsi="Arial" w:cs="Arial"/>
              </w:rPr>
            </w:pPr>
            <w:r>
              <w:rPr>
                <w:rFonts w:ascii="Arial" w:hAnsi="Arial" w:cs="Arial"/>
              </w:rPr>
              <w:t xml:space="preserve">2.5 </w:t>
            </w:r>
            <w:r w:rsidR="00610D95">
              <w:rPr>
                <w:rFonts w:ascii="Arial" w:hAnsi="Arial" w:cs="Arial"/>
              </w:rPr>
              <w:t>Garantizar el funcionamiento pleno del modelo departamental y del sistema de créditos en la Red Universitaria.</w:t>
            </w:r>
          </w:p>
          <w:p w:rsidR="005B6FBA" w:rsidRPr="005B6FBA" w:rsidRDefault="005B6FBA" w:rsidP="00D0777B">
            <w:pPr>
              <w:jc w:val="both"/>
              <w:rPr>
                <w:rFonts w:ascii="Arial" w:hAnsi="Arial" w:cs="Arial"/>
                <w:b/>
              </w:rPr>
            </w:pPr>
            <w:r w:rsidRPr="005B6FBA">
              <w:rPr>
                <w:rFonts w:ascii="Arial" w:hAnsi="Arial" w:cs="Arial"/>
                <w:b/>
              </w:rPr>
              <w:lastRenderedPageBreak/>
              <w:t>Estrategia</w:t>
            </w:r>
          </w:p>
          <w:p w:rsidR="00610D95" w:rsidRDefault="00610D95" w:rsidP="00D0777B">
            <w:pPr>
              <w:jc w:val="both"/>
              <w:rPr>
                <w:rFonts w:ascii="Arial" w:hAnsi="Arial" w:cs="Arial"/>
              </w:rPr>
            </w:pPr>
            <w:r>
              <w:rPr>
                <w:rFonts w:ascii="Arial" w:hAnsi="Arial" w:cs="Arial"/>
              </w:rPr>
              <w:t>2.5.1 Evaluar el sistema departamental y el sistema de créditos.</w:t>
            </w:r>
          </w:p>
          <w:p w:rsidR="00610D95" w:rsidRDefault="00610D95" w:rsidP="00D0777B">
            <w:pPr>
              <w:jc w:val="both"/>
              <w:rPr>
                <w:rFonts w:ascii="Arial" w:hAnsi="Arial" w:cs="Arial"/>
              </w:rPr>
            </w:pPr>
          </w:p>
          <w:p w:rsidR="005B6FBA" w:rsidRPr="005B6FBA" w:rsidRDefault="005B6FBA" w:rsidP="00D0777B">
            <w:pPr>
              <w:jc w:val="both"/>
              <w:rPr>
                <w:rFonts w:ascii="Arial" w:hAnsi="Arial" w:cs="Arial"/>
                <w:b/>
              </w:rPr>
            </w:pPr>
            <w:r w:rsidRPr="005B6FBA">
              <w:rPr>
                <w:rFonts w:ascii="Arial" w:hAnsi="Arial" w:cs="Arial"/>
                <w:b/>
              </w:rPr>
              <w:t>Objetivo</w:t>
            </w:r>
          </w:p>
          <w:p w:rsidR="005B6FBA" w:rsidRDefault="005B6FBA" w:rsidP="00D0777B">
            <w:pPr>
              <w:jc w:val="both"/>
              <w:rPr>
                <w:rFonts w:ascii="Arial" w:hAnsi="Arial" w:cs="Arial"/>
              </w:rPr>
            </w:pPr>
            <w:r>
              <w:rPr>
                <w:rFonts w:ascii="Arial" w:hAnsi="Arial" w:cs="Arial"/>
              </w:rPr>
              <w:t>2.6 Fortalecer los programas de movilidad docente y estudiantil en los ámbitos institucional, nacional e internacional.</w:t>
            </w:r>
          </w:p>
          <w:p w:rsidR="005B6FBA" w:rsidRDefault="005B6FBA" w:rsidP="00D0777B">
            <w:pPr>
              <w:jc w:val="both"/>
              <w:rPr>
                <w:rFonts w:ascii="Arial" w:hAnsi="Arial" w:cs="Arial"/>
              </w:rPr>
            </w:pPr>
          </w:p>
          <w:p w:rsidR="005B6FBA" w:rsidRPr="005B6FBA" w:rsidRDefault="005B6FBA" w:rsidP="00D0777B">
            <w:pPr>
              <w:jc w:val="both"/>
              <w:rPr>
                <w:rFonts w:ascii="Arial" w:hAnsi="Arial" w:cs="Arial"/>
                <w:b/>
              </w:rPr>
            </w:pPr>
            <w:r w:rsidRPr="005B6FBA">
              <w:rPr>
                <w:rFonts w:ascii="Arial" w:hAnsi="Arial" w:cs="Arial"/>
                <w:b/>
              </w:rPr>
              <w:t>Estrategia</w:t>
            </w:r>
          </w:p>
          <w:p w:rsidR="00610D95" w:rsidRDefault="00610D95" w:rsidP="00D0777B">
            <w:pPr>
              <w:jc w:val="both"/>
              <w:rPr>
                <w:rFonts w:ascii="Arial" w:hAnsi="Arial" w:cs="Arial"/>
              </w:rPr>
            </w:pPr>
            <w:r>
              <w:rPr>
                <w:rFonts w:ascii="Arial" w:hAnsi="Arial" w:cs="Arial"/>
              </w:rPr>
              <w:t xml:space="preserve">2.6.6 Impulsar el reconocimiento nacional e internacional para el establecimiento de un </w:t>
            </w:r>
            <w:r w:rsidRPr="00336976">
              <w:rPr>
                <w:rFonts w:ascii="Arial" w:hAnsi="Arial" w:cs="Arial"/>
                <w:b/>
              </w:rPr>
              <w:t>sistema de créditos</w:t>
            </w:r>
            <w:r>
              <w:rPr>
                <w:rFonts w:ascii="Arial" w:hAnsi="Arial" w:cs="Arial"/>
              </w:rPr>
              <w:t xml:space="preserve"> comparable </w:t>
            </w:r>
            <w:r w:rsidRPr="00336976">
              <w:rPr>
                <w:rFonts w:ascii="Arial" w:hAnsi="Arial" w:cs="Arial"/>
                <w:b/>
              </w:rPr>
              <w:t>que facilite</w:t>
            </w:r>
            <w:r>
              <w:rPr>
                <w:rFonts w:ascii="Arial" w:hAnsi="Arial" w:cs="Arial"/>
              </w:rPr>
              <w:t xml:space="preserve"> la movilidad estudiantil.</w:t>
            </w:r>
          </w:p>
          <w:p w:rsidR="00610D95" w:rsidRPr="00A348C3" w:rsidRDefault="00610D95" w:rsidP="00D0777B">
            <w:pPr>
              <w:jc w:val="both"/>
              <w:rPr>
                <w:rFonts w:ascii="Arial" w:hAnsi="Arial" w:cs="Arial"/>
              </w:rPr>
            </w:pPr>
          </w:p>
        </w:tc>
        <w:tc>
          <w:tcPr>
            <w:tcW w:w="4111" w:type="dxa"/>
          </w:tcPr>
          <w:p w:rsidR="00610D95" w:rsidRDefault="00610D95" w:rsidP="00D0777B">
            <w:pPr>
              <w:jc w:val="both"/>
              <w:rPr>
                <w:rFonts w:ascii="Arial" w:hAnsi="Arial" w:cs="Arial"/>
              </w:rPr>
            </w:pPr>
            <w:r>
              <w:rPr>
                <w:rFonts w:ascii="Arial" w:hAnsi="Arial" w:cs="Arial"/>
              </w:rPr>
              <w:lastRenderedPageBreak/>
              <w:t>Integrar una comisión del Consejo de Rectores, que tenga el apoyo de un comité técnico de expertos para:</w:t>
            </w:r>
          </w:p>
          <w:p w:rsidR="00610D95" w:rsidRDefault="00610D95" w:rsidP="00D0777B">
            <w:pPr>
              <w:jc w:val="both"/>
              <w:rPr>
                <w:rFonts w:ascii="Arial" w:hAnsi="Arial" w:cs="Arial"/>
              </w:rPr>
            </w:pPr>
          </w:p>
          <w:p w:rsidR="00610D95" w:rsidRDefault="00610D95" w:rsidP="00D0777B">
            <w:pPr>
              <w:pStyle w:val="Prrafodelista"/>
              <w:numPr>
                <w:ilvl w:val="0"/>
                <w:numId w:val="2"/>
              </w:numPr>
              <w:jc w:val="both"/>
              <w:rPr>
                <w:rFonts w:ascii="Arial" w:hAnsi="Arial" w:cs="Arial"/>
              </w:rPr>
            </w:pPr>
            <w:r w:rsidRPr="005B71E1">
              <w:rPr>
                <w:rFonts w:ascii="Arial" w:hAnsi="Arial" w:cs="Arial"/>
              </w:rPr>
              <w:t>Analizar el sistema de créditos vigente en correlación con los propuestos por la ANUIES (</w:t>
            </w:r>
            <w:proofErr w:type="spellStart"/>
            <w:r w:rsidRPr="005B71E1">
              <w:rPr>
                <w:rFonts w:ascii="Arial" w:hAnsi="Arial" w:cs="Arial"/>
                <w:smallCaps/>
              </w:rPr>
              <w:t>satca</w:t>
            </w:r>
            <w:proofErr w:type="spellEnd"/>
            <w:r w:rsidRPr="005B71E1">
              <w:rPr>
                <w:rFonts w:ascii="Arial" w:hAnsi="Arial" w:cs="Arial"/>
              </w:rPr>
              <w:t xml:space="preserve">) y la Coordinación </w:t>
            </w:r>
            <w:r w:rsidRPr="005B71E1">
              <w:rPr>
                <w:rFonts w:ascii="Arial" w:hAnsi="Arial" w:cs="Arial"/>
              </w:rPr>
              <w:lastRenderedPageBreak/>
              <w:t>General Académica (Crédito europeo)</w:t>
            </w:r>
            <w:r>
              <w:rPr>
                <w:rFonts w:ascii="Arial" w:hAnsi="Arial" w:cs="Arial"/>
              </w:rPr>
              <w:t>. Incluir algún otro sistema que considere conveniente.</w:t>
            </w:r>
            <w:r w:rsidRPr="005B71E1">
              <w:rPr>
                <w:rFonts w:ascii="Arial" w:hAnsi="Arial" w:cs="Arial"/>
              </w:rPr>
              <w:t xml:space="preserve"> </w:t>
            </w:r>
          </w:p>
          <w:p w:rsidR="00610D95" w:rsidRPr="005B71E1" w:rsidRDefault="00610D95" w:rsidP="00D0777B">
            <w:pPr>
              <w:pStyle w:val="Prrafodelista"/>
              <w:jc w:val="both"/>
              <w:rPr>
                <w:rFonts w:ascii="Arial" w:hAnsi="Arial" w:cs="Arial"/>
              </w:rPr>
            </w:pPr>
          </w:p>
          <w:p w:rsidR="00610D95" w:rsidRDefault="00610D95" w:rsidP="00D0777B">
            <w:pPr>
              <w:pStyle w:val="Prrafodelista"/>
              <w:numPr>
                <w:ilvl w:val="0"/>
                <w:numId w:val="2"/>
              </w:numPr>
              <w:jc w:val="both"/>
              <w:rPr>
                <w:rFonts w:ascii="Arial" w:hAnsi="Arial" w:cs="Arial"/>
              </w:rPr>
            </w:pPr>
            <w:r>
              <w:rPr>
                <w:rFonts w:ascii="Arial" w:hAnsi="Arial" w:cs="Arial"/>
              </w:rPr>
              <w:t>Con base en lo anterior, elaborar un documento con ventajas y desventajas de cada uno de los sistemas.</w:t>
            </w:r>
          </w:p>
          <w:p w:rsidR="00610D95" w:rsidRPr="000D6C37" w:rsidRDefault="00610D95" w:rsidP="00D0777B">
            <w:pPr>
              <w:pStyle w:val="Prrafodelista"/>
              <w:jc w:val="both"/>
              <w:rPr>
                <w:rFonts w:ascii="Arial" w:hAnsi="Arial" w:cs="Arial"/>
              </w:rPr>
            </w:pPr>
          </w:p>
          <w:p w:rsidR="00610D95" w:rsidRDefault="00610D95" w:rsidP="00D0777B">
            <w:pPr>
              <w:pStyle w:val="Prrafodelista"/>
              <w:numPr>
                <w:ilvl w:val="0"/>
                <w:numId w:val="2"/>
              </w:numPr>
              <w:jc w:val="both"/>
              <w:rPr>
                <w:rFonts w:ascii="Arial" w:hAnsi="Arial" w:cs="Arial"/>
              </w:rPr>
            </w:pPr>
            <w:r>
              <w:rPr>
                <w:rFonts w:ascii="Arial" w:hAnsi="Arial" w:cs="Arial"/>
              </w:rPr>
              <w:t xml:space="preserve">El documento será presentado en el Consejo de Rectores con el fin que este órgano defina en primera instancia cuál sistema es el idóneo.  </w:t>
            </w:r>
          </w:p>
          <w:p w:rsidR="007F6FCB" w:rsidRPr="005B71E1" w:rsidRDefault="007F6FCB" w:rsidP="00D0777B">
            <w:pPr>
              <w:pStyle w:val="Prrafodelista"/>
              <w:jc w:val="both"/>
              <w:rPr>
                <w:rFonts w:ascii="Arial" w:hAnsi="Arial" w:cs="Arial"/>
              </w:rPr>
            </w:pPr>
          </w:p>
        </w:tc>
        <w:tc>
          <w:tcPr>
            <w:tcW w:w="4253" w:type="dxa"/>
          </w:tcPr>
          <w:p w:rsidR="00610D95" w:rsidRDefault="00610D95" w:rsidP="00D0777B">
            <w:pPr>
              <w:jc w:val="both"/>
              <w:rPr>
                <w:rFonts w:ascii="Arial" w:hAnsi="Arial" w:cs="Arial"/>
              </w:rPr>
            </w:pPr>
            <w:r>
              <w:rPr>
                <w:rFonts w:ascii="Arial" w:hAnsi="Arial" w:cs="Arial"/>
              </w:rPr>
              <w:lastRenderedPageBreak/>
              <w:t>El sistema de créditos es un mecanismo que ayuda a la administración del plan de estudios como su flexibilidad y en consecuencia, la movilidad estudiantil.</w:t>
            </w:r>
          </w:p>
          <w:p w:rsidR="00610D95" w:rsidRDefault="00610D95" w:rsidP="00D0777B">
            <w:pPr>
              <w:jc w:val="both"/>
              <w:rPr>
                <w:rFonts w:ascii="Arial" w:hAnsi="Arial" w:cs="Arial"/>
              </w:rPr>
            </w:pPr>
          </w:p>
          <w:p w:rsidR="00610D95" w:rsidRPr="00A348C3" w:rsidRDefault="00610D95" w:rsidP="00D0777B">
            <w:pPr>
              <w:jc w:val="both"/>
              <w:rPr>
                <w:rFonts w:ascii="Arial" w:hAnsi="Arial" w:cs="Arial"/>
              </w:rPr>
            </w:pPr>
            <w:r>
              <w:rPr>
                <w:rFonts w:ascii="Arial" w:hAnsi="Arial" w:cs="Arial"/>
              </w:rPr>
              <w:t xml:space="preserve">Es importante definir si es necesaria la modificación al sistema de créditos, tomando en consideración que la </w:t>
            </w:r>
            <w:r>
              <w:rPr>
                <w:rFonts w:ascii="Arial" w:hAnsi="Arial" w:cs="Arial"/>
              </w:rPr>
              <w:lastRenderedPageBreak/>
              <w:t>mayoría de los planes de estudios están en proceso de actualización.</w:t>
            </w:r>
          </w:p>
        </w:tc>
      </w:tr>
      <w:tr w:rsidR="00610D95" w:rsidRPr="00A348C3" w:rsidTr="00D0777B">
        <w:tc>
          <w:tcPr>
            <w:tcW w:w="5211" w:type="dxa"/>
          </w:tcPr>
          <w:p w:rsidR="007F6FCB" w:rsidRDefault="00315A91" w:rsidP="00D0777B">
            <w:pPr>
              <w:jc w:val="both"/>
              <w:rPr>
                <w:rFonts w:ascii="Arial" w:hAnsi="Arial" w:cs="Arial"/>
                <w:b/>
              </w:rPr>
            </w:pPr>
            <w:r>
              <w:rPr>
                <w:rFonts w:ascii="Arial" w:hAnsi="Arial" w:cs="Arial"/>
                <w:b/>
              </w:rPr>
              <w:lastRenderedPageBreak/>
              <w:t>Aprendizaje de un segundo idioma</w:t>
            </w:r>
          </w:p>
          <w:p w:rsidR="00315A91" w:rsidRDefault="00315A91" w:rsidP="00D0777B">
            <w:pPr>
              <w:jc w:val="both"/>
              <w:rPr>
                <w:rFonts w:ascii="Arial" w:hAnsi="Arial" w:cs="Arial"/>
                <w:b/>
              </w:rPr>
            </w:pPr>
          </w:p>
          <w:p w:rsidR="007F6FCB" w:rsidRDefault="007F6FCB" w:rsidP="00D0777B">
            <w:pPr>
              <w:jc w:val="both"/>
              <w:rPr>
                <w:rFonts w:ascii="Arial" w:hAnsi="Arial" w:cs="Arial"/>
              </w:rPr>
            </w:pPr>
          </w:p>
          <w:p w:rsidR="007F6FCB" w:rsidRPr="007F6FCB" w:rsidRDefault="007F6FCB" w:rsidP="00D0777B">
            <w:pPr>
              <w:jc w:val="both"/>
              <w:rPr>
                <w:rFonts w:ascii="Arial" w:hAnsi="Arial" w:cs="Arial"/>
                <w:b/>
              </w:rPr>
            </w:pPr>
            <w:r w:rsidRPr="007F6FCB">
              <w:rPr>
                <w:rFonts w:ascii="Arial" w:hAnsi="Arial" w:cs="Arial"/>
                <w:b/>
              </w:rPr>
              <w:t>Estrategia</w:t>
            </w:r>
          </w:p>
          <w:p w:rsidR="007F6FCB" w:rsidRPr="00A348C3" w:rsidRDefault="007F6FCB" w:rsidP="00D0777B">
            <w:pPr>
              <w:jc w:val="both"/>
              <w:rPr>
                <w:rFonts w:ascii="Arial" w:hAnsi="Arial" w:cs="Arial"/>
              </w:rPr>
            </w:pPr>
            <w:r>
              <w:rPr>
                <w:rFonts w:ascii="Arial" w:hAnsi="Arial" w:cs="Arial"/>
              </w:rPr>
              <w:t xml:space="preserve">2.6.1 Incorporar el aprendizaje de un segundo idioma en todos los planes de estudio institucionales, desde el nivel medio superior hasta el superior.  </w:t>
            </w:r>
          </w:p>
        </w:tc>
        <w:tc>
          <w:tcPr>
            <w:tcW w:w="4111" w:type="dxa"/>
          </w:tcPr>
          <w:p w:rsidR="00610D95" w:rsidRDefault="007F6FCB" w:rsidP="00D0777B">
            <w:pPr>
              <w:jc w:val="both"/>
              <w:rPr>
                <w:rFonts w:ascii="Arial" w:hAnsi="Arial" w:cs="Arial"/>
              </w:rPr>
            </w:pPr>
            <w:r>
              <w:rPr>
                <w:rFonts w:ascii="Arial" w:hAnsi="Arial" w:cs="Arial"/>
              </w:rPr>
              <w:t>Que la Comisión creada en el Consejo de Rectores para analizar el tema del segundo idioma presente al Consejo de Rectores el informe que contenga entre otros aspectos lo siguiente:</w:t>
            </w:r>
          </w:p>
          <w:p w:rsidR="007F6FCB" w:rsidRDefault="007F6FCB" w:rsidP="00D0777B">
            <w:pPr>
              <w:jc w:val="both"/>
              <w:rPr>
                <w:rFonts w:ascii="Arial" w:hAnsi="Arial" w:cs="Arial"/>
              </w:rPr>
            </w:pPr>
          </w:p>
          <w:p w:rsidR="007F6FCB" w:rsidRDefault="007F6FCB" w:rsidP="00D0777B">
            <w:pPr>
              <w:pStyle w:val="Prrafodelista"/>
              <w:numPr>
                <w:ilvl w:val="0"/>
                <w:numId w:val="3"/>
              </w:numPr>
              <w:jc w:val="both"/>
              <w:rPr>
                <w:rFonts w:ascii="Arial" w:hAnsi="Arial" w:cs="Arial"/>
              </w:rPr>
            </w:pPr>
            <w:r>
              <w:rPr>
                <w:rFonts w:ascii="Arial" w:hAnsi="Arial" w:cs="Arial"/>
              </w:rPr>
              <w:t xml:space="preserve">El diagnóstico institucional sobre la enseñanza de otro idioma, y </w:t>
            </w:r>
          </w:p>
          <w:p w:rsidR="007F6FCB" w:rsidRDefault="007F6FCB" w:rsidP="00D0777B">
            <w:pPr>
              <w:pStyle w:val="Prrafodelista"/>
              <w:jc w:val="both"/>
              <w:rPr>
                <w:rFonts w:ascii="Arial" w:hAnsi="Arial" w:cs="Arial"/>
              </w:rPr>
            </w:pPr>
          </w:p>
          <w:p w:rsidR="007F6FCB" w:rsidRPr="007F6FCB" w:rsidRDefault="007F6FCB" w:rsidP="00D0777B">
            <w:pPr>
              <w:pStyle w:val="Prrafodelista"/>
              <w:numPr>
                <w:ilvl w:val="0"/>
                <w:numId w:val="3"/>
              </w:numPr>
              <w:jc w:val="both"/>
              <w:rPr>
                <w:rFonts w:ascii="Arial" w:hAnsi="Arial" w:cs="Arial"/>
              </w:rPr>
            </w:pPr>
            <w:r>
              <w:rPr>
                <w:rFonts w:ascii="Arial" w:hAnsi="Arial" w:cs="Arial"/>
              </w:rPr>
              <w:t xml:space="preserve">La propuesta del plan que permita atender la estrategia definida en el punto 2.6.1 </w:t>
            </w:r>
          </w:p>
        </w:tc>
        <w:tc>
          <w:tcPr>
            <w:tcW w:w="4253" w:type="dxa"/>
          </w:tcPr>
          <w:p w:rsidR="00610D95" w:rsidRDefault="007F6FCB" w:rsidP="00D0777B">
            <w:pPr>
              <w:jc w:val="both"/>
              <w:rPr>
                <w:rFonts w:ascii="Arial" w:hAnsi="Arial" w:cs="Arial"/>
              </w:rPr>
            </w:pPr>
            <w:r>
              <w:rPr>
                <w:rFonts w:ascii="Arial" w:hAnsi="Arial" w:cs="Arial"/>
              </w:rPr>
              <w:t xml:space="preserve">La Comisión de Educación está aprobando las modificaciones a los planes de estudios que adicionan la asignatura </w:t>
            </w:r>
            <w:r w:rsidR="00E50E1D">
              <w:rPr>
                <w:rFonts w:ascii="Arial" w:hAnsi="Arial" w:cs="Arial"/>
              </w:rPr>
              <w:t>de otro idioma, en algunos como obligatoria y en otros no.</w:t>
            </w:r>
          </w:p>
          <w:p w:rsidR="00E50E1D" w:rsidRDefault="00E50E1D" w:rsidP="00D0777B">
            <w:pPr>
              <w:jc w:val="both"/>
              <w:rPr>
                <w:rFonts w:ascii="Arial" w:hAnsi="Arial" w:cs="Arial"/>
              </w:rPr>
            </w:pPr>
          </w:p>
          <w:p w:rsidR="00E50E1D" w:rsidRDefault="00E50E1D" w:rsidP="00D0777B">
            <w:pPr>
              <w:jc w:val="both"/>
              <w:rPr>
                <w:rFonts w:ascii="Arial" w:hAnsi="Arial" w:cs="Arial"/>
              </w:rPr>
            </w:pPr>
            <w:r>
              <w:rPr>
                <w:rFonts w:ascii="Arial" w:hAnsi="Arial" w:cs="Arial"/>
              </w:rPr>
              <w:t>Partiendo de lo establecido en el PDI, no existe justificación de que el inglés sea obligatorio para algunos PE y para otros no, cuando es una política nacional que nuestra institución ha asumido a través del PDI.</w:t>
            </w:r>
          </w:p>
          <w:p w:rsidR="00E50E1D" w:rsidRDefault="00E50E1D" w:rsidP="00D0777B">
            <w:pPr>
              <w:jc w:val="both"/>
              <w:rPr>
                <w:rFonts w:ascii="Arial" w:hAnsi="Arial" w:cs="Arial"/>
              </w:rPr>
            </w:pPr>
          </w:p>
          <w:p w:rsidR="00D31503" w:rsidRDefault="00D31503" w:rsidP="00D0777B">
            <w:pPr>
              <w:jc w:val="both"/>
              <w:rPr>
                <w:rFonts w:ascii="Arial" w:hAnsi="Arial" w:cs="Arial"/>
              </w:rPr>
            </w:pPr>
            <w:r>
              <w:rPr>
                <w:rFonts w:ascii="Arial" w:hAnsi="Arial" w:cs="Arial"/>
              </w:rPr>
              <w:t xml:space="preserve">El Consejo de Rectores debe de proponer un programa </w:t>
            </w:r>
            <w:r w:rsidR="00E50E1D">
              <w:rPr>
                <w:rFonts w:ascii="Arial" w:hAnsi="Arial" w:cs="Arial"/>
              </w:rPr>
              <w:t>que permita atender en forma gradual la estrategia 2.6.1</w:t>
            </w:r>
            <w:r>
              <w:rPr>
                <w:rFonts w:ascii="Arial" w:hAnsi="Arial" w:cs="Arial"/>
              </w:rPr>
              <w:t xml:space="preserve">. Dicho documento debe definir </w:t>
            </w:r>
            <w:r w:rsidR="00E50E1D">
              <w:rPr>
                <w:rFonts w:ascii="Arial" w:hAnsi="Arial" w:cs="Arial"/>
              </w:rPr>
              <w:t>los</w:t>
            </w:r>
            <w:r>
              <w:rPr>
                <w:rFonts w:ascii="Arial" w:hAnsi="Arial" w:cs="Arial"/>
              </w:rPr>
              <w:t xml:space="preserve"> </w:t>
            </w:r>
            <w:r>
              <w:rPr>
                <w:rFonts w:ascii="Arial" w:hAnsi="Arial" w:cs="Arial"/>
              </w:rPr>
              <w:lastRenderedPageBreak/>
              <w:t>criterios que permitan a la institución ir asumiendo la obligatoriedad de un segundo idioma en cada uno de los programas.</w:t>
            </w:r>
          </w:p>
          <w:p w:rsidR="00D31503" w:rsidRDefault="00D31503" w:rsidP="00D0777B">
            <w:pPr>
              <w:jc w:val="both"/>
              <w:rPr>
                <w:rFonts w:ascii="Arial" w:hAnsi="Arial" w:cs="Arial"/>
              </w:rPr>
            </w:pPr>
          </w:p>
          <w:p w:rsidR="00E50E1D" w:rsidRDefault="00D31503" w:rsidP="00D0777B">
            <w:pPr>
              <w:jc w:val="both"/>
              <w:rPr>
                <w:rFonts w:ascii="Arial" w:hAnsi="Arial" w:cs="Arial"/>
              </w:rPr>
            </w:pPr>
            <w:r>
              <w:rPr>
                <w:rFonts w:ascii="Arial" w:hAnsi="Arial" w:cs="Arial"/>
              </w:rPr>
              <w:t xml:space="preserve">Para ello, debe tomar </w:t>
            </w:r>
            <w:r w:rsidR="00E50E1D">
              <w:rPr>
                <w:rFonts w:ascii="Arial" w:hAnsi="Arial" w:cs="Arial"/>
              </w:rPr>
              <w:t>en consideración la situación financiera, la planta académica y las diversas modalidades en que se puede ofrecer el aprendizaje de otro idioma</w:t>
            </w:r>
            <w:r>
              <w:rPr>
                <w:rFonts w:ascii="Arial" w:hAnsi="Arial" w:cs="Arial"/>
              </w:rPr>
              <w:t>.</w:t>
            </w:r>
          </w:p>
          <w:p w:rsidR="00E50E1D" w:rsidRDefault="00E50E1D" w:rsidP="00D0777B">
            <w:pPr>
              <w:jc w:val="both"/>
              <w:rPr>
                <w:rFonts w:ascii="Arial" w:hAnsi="Arial" w:cs="Arial"/>
              </w:rPr>
            </w:pPr>
          </w:p>
          <w:p w:rsidR="00E50E1D" w:rsidRPr="00A348C3" w:rsidRDefault="00D31503" w:rsidP="00D0777B">
            <w:pPr>
              <w:jc w:val="both"/>
              <w:rPr>
                <w:rFonts w:ascii="Arial" w:hAnsi="Arial" w:cs="Arial"/>
              </w:rPr>
            </w:pPr>
            <w:r>
              <w:rPr>
                <w:rFonts w:ascii="Arial" w:hAnsi="Arial" w:cs="Arial"/>
              </w:rPr>
              <w:t xml:space="preserve">De lo contrario se genera </w:t>
            </w:r>
            <w:r w:rsidR="00E50E1D">
              <w:rPr>
                <w:rFonts w:ascii="Arial" w:hAnsi="Arial" w:cs="Arial"/>
              </w:rPr>
              <w:t xml:space="preserve">inequidad entre los </w:t>
            </w:r>
            <w:r>
              <w:rPr>
                <w:rFonts w:ascii="Arial" w:hAnsi="Arial" w:cs="Arial"/>
              </w:rPr>
              <w:t>PE. P</w:t>
            </w:r>
            <w:r w:rsidR="00E50E1D">
              <w:rPr>
                <w:rFonts w:ascii="Arial" w:hAnsi="Arial" w:cs="Arial"/>
              </w:rPr>
              <w:t>or ello, es importante que a la brevedad se presente la propuesta de la Comisión creada para revisar este tema.</w:t>
            </w:r>
          </w:p>
        </w:tc>
      </w:tr>
    </w:tbl>
    <w:p w:rsidR="00610D95" w:rsidRDefault="00610D95" w:rsidP="00D0777B">
      <w:pPr>
        <w:spacing w:after="0" w:line="240" w:lineRule="auto"/>
        <w:jc w:val="both"/>
        <w:rPr>
          <w:rFonts w:ascii="Arial" w:hAnsi="Arial" w:cs="Arial"/>
        </w:rPr>
      </w:pPr>
    </w:p>
    <w:p w:rsidR="00EA15C9" w:rsidRDefault="00EA15C9" w:rsidP="00D0777B">
      <w:pPr>
        <w:spacing w:after="0" w:line="240" w:lineRule="auto"/>
        <w:jc w:val="both"/>
        <w:rPr>
          <w:rFonts w:ascii="Arial" w:hAnsi="Arial" w:cs="Arial"/>
        </w:rPr>
      </w:pPr>
    </w:p>
    <w:p w:rsidR="00DD1207" w:rsidRDefault="00DD1207" w:rsidP="00D0777B">
      <w:pPr>
        <w:spacing w:after="0" w:line="240" w:lineRule="auto"/>
        <w:jc w:val="both"/>
        <w:rPr>
          <w:rFonts w:ascii="Arial" w:hAnsi="Arial" w:cs="Arial"/>
        </w:rPr>
      </w:pPr>
    </w:p>
    <w:p w:rsidR="00DD1207" w:rsidRDefault="00DD1207" w:rsidP="00D0777B">
      <w:pPr>
        <w:spacing w:after="0" w:line="240" w:lineRule="auto"/>
        <w:jc w:val="both"/>
        <w:rPr>
          <w:rFonts w:ascii="Arial" w:hAnsi="Arial" w:cs="Arial"/>
        </w:rPr>
      </w:pPr>
    </w:p>
    <w:tbl>
      <w:tblPr>
        <w:tblStyle w:val="Tablaconcuadrcula"/>
        <w:tblW w:w="13575" w:type="dxa"/>
        <w:tblLook w:val="04A0" w:firstRow="1" w:lastRow="0" w:firstColumn="1" w:lastColumn="0" w:noHBand="0" w:noVBand="1"/>
      </w:tblPr>
      <w:tblGrid>
        <w:gridCol w:w="5211"/>
        <w:gridCol w:w="4111"/>
        <w:gridCol w:w="4253"/>
      </w:tblGrid>
      <w:tr w:rsidR="00DD1207" w:rsidRPr="00A348C3" w:rsidTr="00D0777B">
        <w:trPr>
          <w:tblHeader/>
        </w:trPr>
        <w:tc>
          <w:tcPr>
            <w:tcW w:w="5211" w:type="dxa"/>
            <w:shd w:val="clear" w:color="auto" w:fill="A6A6A6" w:themeFill="background1" w:themeFillShade="A6"/>
            <w:vAlign w:val="center"/>
          </w:tcPr>
          <w:p w:rsidR="00DD1207" w:rsidRDefault="00DD1207" w:rsidP="00D0777B">
            <w:pPr>
              <w:jc w:val="center"/>
              <w:rPr>
                <w:rFonts w:ascii="Arial" w:hAnsi="Arial" w:cs="Arial"/>
                <w:b/>
              </w:rPr>
            </w:pPr>
            <w:r>
              <w:rPr>
                <w:rFonts w:ascii="Arial" w:hAnsi="Arial" w:cs="Arial"/>
                <w:b/>
              </w:rPr>
              <w:t>Competencia de las Comisiones de Educación y de Normatividad</w:t>
            </w:r>
          </w:p>
        </w:tc>
        <w:tc>
          <w:tcPr>
            <w:tcW w:w="4111" w:type="dxa"/>
            <w:shd w:val="clear" w:color="auto" w:fill="A6A6A6" w:themeFill="background1" w:themeFillShade="A6"/>
            <w:vAlign w:val="center"/>
          </w:tcPr>
          <w:p w:rsidR="00DD1207" w:rsidRPr="00A348C3" w:rsidRDefault="00DD1207" w:rsidP="00D0777B">
            <w:pPr>
              <w:jc w:val="center"/>
              <w:rPr>
                <w:rFonts w:ascii="Arial" w:hAnsi="Arial" w:cs="Arial"/>
                <w:b/>
              </w:rPr>
            </w:pPr>
            <w:r>
              <w:rPr>
                <w:rFonts w:ascii="Arial" w:hAnsi="Arial" w:cs="Arial"/>
                <w:b/>
              </w:rPr>
              <w:t>Propuesta</w:t>
            </w:r>
          </w:p>
        </w:tc>
        <w:tc>
          <w:tcPr>
            <w:tcW w:w="4253" w:type="dxa"/>
            <w:shd w:val="clear" w:color="auto" w:fill="A6A6A6" w:themeFill="background1" w:themeFillShade="A6"/>
            <w:vAlign w:val="center"/>
          </w:tcPr>
          <w:p w:rsidR="00DD1207" w:rsidRPr="00A348C3" w:rsidRDefault="00DD1207" w:rsidP="00D0777B">
            <w:pPr>
              <w:jc w:val="center"/>
              <w:rPr>
                <w:rFonts w:ascii="Arial" w:hAnsi="Arial" w:cs="Arial"/>
                <w:b/>
              </w:rPr>
            </w:pPr>
            <w:r>
              <w:rPr>
                <w:rFonts w:ascii="Arial" w:hAnsi="Arial" w:cs="Arial"/>
                <w:b/>
              </w:rPr>
              <w:t>Comentario</w:t>
            </w:r>
          </w:p>
        </w:tc>
      </w:tr>
      <w:tr w:rsidR="00DD1207" w:rsidRPr="00A348C3" w:rsidTr="00AE417C">
        <w:tc>
          <w:tcPr>
            <w:tcW w:w="5211" w:type="dxa"/>
          </w:tcPr>
          <w:p w:rsidR="00DD1207" w:rsidRDefault="00DD1207" w:rsidP="00D0777B">
            <w:pPr>
              <w:jc w:val="both"/>
              <w:rPr>
                <w:rFonts w:ascii="Arial" w:hAnsi="Arial" w:cs="Arial"/>
              </w:rPr>
            </w:pPr>
          </w:p>
          <w:p w:rsidR="00DD1207" w:rsidRDefault="00DD1207" w:rsidP="00D0777B">
            <w:pPr>
              <w:jc w:val="both"/>
              <w:rPr>
                <w:rFonts w:ascii="Arial" w:hAnsi="Arial" w:cs="Arial"/>
              </w:rPr>
            </w:pPr>
          </w:p>
          <w:p w:rsidR="00DD1207" w:rsidRPr="005B49D1" w:rsidRDefault="00DD1207" w:rsidP="00D0777B">
            <w:pPr>
              <w:jc w:val="both"/>
              <w:rPr>
                <w:rFonts w:ascii="Arial" w:hAnsi="Arial" w:cs="Arial"/>
                <w:i/>
              </w:rPr>
            </w:pPr>
            <w:r w:rsidRPr="005B49D1">
              <w:rPr>
                <w:rFonts w:ascii="Arial" w:hAnsi="Arial" w:cs="Arial"/>
                <w:i/>
              </w:rPr>
              <w:t>Estatuto General de la Universidad de Guadalajara</w:t>
            </w:r>
          </w:p>
          <w:p w:rsidR="00DD1207" w:rsidRDefault="00DD1207" w:rsidP="00D0777B">
            <w:pPr>
              <w:jc w:val="both"/>
              <w:rPr>
                <w:rFonts w:ascii="Arial" w:hAnsi="Arial" w:cs="Arial"/>
              </w:rPr>
            </w:pPr>
          </w:p>
          <w:p w:rsidR="00DD1207" w:rsidRDefault="00DD1207" w:rsidP="00D0777B">
            <w:pPr>
              <w:jc w:val="both"/>
              <w:rPr>
                <w:rFonts w:ascii="Arial" w:hAnsi="Arial" w:cs="Arial"/>
              </w:rPr>
            </w:pPr>
            <w:r w:rsidRPr="005B49D1">
              <w:rPr>
                <w:rFonts w:ascii="Arial" w:hAnsi="Arial" w:cs="Arial"/>
                <w:b/>
              </w:rPr>
              <w:t>Artículo 88</w:t>
            </w:r>
            <w:r w:rsidRPr="00EA15C9">
              <w:rPr>
                <w:rFonts w:ascii="Arial" w:hAnsi="Arial" w:cs="Arial"/>
              </w:rPr>
              <w:t>. Son atribuciones y funciones de la Comisión de Normatividad:</w:t>
            </w:r>
          </w:p>
          <w:p w:rsidR="00DD1207" w:rsidRPr="00EA15C9" w:rsidRDefault="00DD1207" w:rsidP="00D0777B">
            <w:pPr>
              <w:jc w:val="both"/>
              <w:rPr>
                <w:rFonts w:ascii="Arial" w:hAnsi="Arial" w:cs="Arial"/>
              </w:rPr>
            </w:pPr>
          </w:p>
          <w:p w:rsidR="00DD1207" w:rsidRPr="00EA15C9" w:rsidRDefault="00DD1207" w:rsidP="00D0777B">
            <w:pPr>
              <w:jc w:val="both"/>
              <w:rPr>
                <w:rFonts w:ascii="Arial" w:hAnsi="Arial" w:cs="Arial"/>
              </w:rPr>
            </w:pPr>
            <w:r w:rsidRPr="00EA15C9">
              <w:rPr>
                <w:rFonts w:ascii="Arial" w:hAnsi="Arial" w:cs="Arial"/>
              </w:rPr>
              <w:t>I. Revisar la reglamentación vigente en la Universidad de Guadalajara, procurando en todo momento su</w:t>
            </w:r>
            <w:r>
              <w:rPr>
                <w:rFonts w:ascii="Arial" w:hAnsi="Arial" w:cs="Arial"/>
              </w:rPr>
              <w:t xml:space="preserve"> </w:t>
            </w:r>
            <w:r w:rsidRPr="00EA15C9">
              <w:rPr>
                <w:rFonts w:ascii="Arial" w:hAnsi="Arial" w:cs="Arial"/>
              </w:rPr>
              <w:t>actualización;</w:t>
            </w:r>
          </w:p>
          <w:p w:rsidR="00DD1207" w:rsidRPr="00EA15C9" w:rsidRDefault="00DD1207" w:rsidP="00D0777B">
            <w:pPr>
              <w:jc w:val="both"/>
              <w:rPr>
                <w:rFonts w:ascii="Arial" w:hAnsi="Arial" w:cs="Arial"/>
              </w:rPr>
            </w:pPr>
            <w:r w:rsidRPr="00EA15C9">
              <w:rPr>
                <w:rFonts w:ascii="Arial" w:hAnsi="Arial" w:cs="Arial"/>
              </w:rPr>
              <w:t xml:space="preserve">II. Proponer las modificaciones o adiciones que se </w:t>
            </w:r>
            <w:r w:rsidRPr="00EA15C9">
              <w:rPr>
                <w:rFonts w:ascii="Arial" w:hAnsi="Arial" w:cs="Arial"/>
              </w:rPr>
              <w:lastRenderedPageBreak/>
              <w:t>formulen al Estatuto General, Estatutos Orgánicos y Reglamentos de observancia general en el conjunto de la Universidad;</w:t>
            </w:r>
          </w:p>
          <w:p w:rsidR="00DD1207" w:rsidRPr="00EA15C9" w:rsidRDefault="00DD1207" w:rsidP="00D0777B">
            <w:pPr>
              <w:jc w:val="both"/>
              <w:rPr>
                <w:rFonts w:ascii="Arial" w:hAnsi="Arial" w:cs="Arial"/>
              </w:rPr>
            </w:pPr>
            <w:r w:rsidRPr="00EA15C9">
              <w:rPr>
                <w:rFonts w:ascii="Arial" w:hAnsi="Arial" w:cs="Arial"/>
              </w:rPr>
              <w:t>III. Examinar y dictaminar sobre todo proyecto de estatuto o de reglamento de observancia general en la Universidad; y</w:t>
            </w:r>
          </w:p>
          <w:p w:rsidR="00DD1207" w:rsidRPr="00A348C3" w:rsidRDefault="00DD1207" w:rsidP="00D0777B">
            <w:pPr>
              <w:jc w:val="both"/>
              <w:rPr>
                <w:rFonts w:ascii="Arial" w:hAnsi="Arial" w:cs="Arial"/>
              </w:rPr>
            </w:pPr>
            <w:r w:rsidRPr="00EA15C9">
              <w:rPr>
                <w:rFonts w:ascii="Arial" w:hAnsi="Arial" w:cs="Arial"/>
              </w:rPr>
              <w:t>IV. Las demás que señale la normatividad aplicable.</w:t>
            </w:r>
          </w:p>
          <w:p w:rsidR="00DD1207" w:rsidRDefault="00DD1207" w:rsidP="00D0777B">
            <w:pPr>
              <w:jc w:val="both"/>
              <w:rPr>
                <w:rFonts w:ascii="Arial" w:hAnsi="Arial" w:cs="Arial"/>
              </w:rPr>
            </w:pPr>
          </w:p>
          <w:p w:rsidR="00DD1207" w:rsidRPr="005B49D1" w:rsidRDefault="00DD1207" w:rsidP="00D0777B">
            <w:pPr>
              <w:jc w:val="both"/>
              <w:rPr>
                <w:rFonts w:ascii="Arial" w:hAnsi="Arial" w:cs="Arial"/>
                <w:i/>
              </w:rPr>
            </w:pPr>
            <w:r w:rsidRPr="005B49D1">
              <w:rPr>
                <w:rFonts w:ascii="Arial" w:hAnsi="Arial" w:cs="Arial"/>
                <w:i/>
              </w:rPr>
              <w:t>Ley Orgánica de la Universidad de Guadalajara</w:t>
            </w:r>
          </w:p>
          <w:p w:rsidR="00DD1207" w:rsidRDefault="00DD1207" w:rsidP="00D0777B">
            <w:pPr>
              <w:jc w:val="both"/>
              <w:rPr>
                <w:rFonts w:ascii="Arial" w:hAnsi="Arial" w:cs="Arial"/>
              </w:rPr>
            </w:pPr>
          </w:p>
          <w:p w:rsidR="00DD1207" w:rsidRDefault="00DD1207" w:rsidP="00D0777B">
            <w:pPr>
              <w:jc w:val="both"/>
              <w:rPr>
                <w:rFonts w:ascii="Arial" w:hAnsi="Arial" w:cs="Arial"/>
              </w:rPr>
            </w:pPr>
            <w:r w:rsidRPr="005B49D1">
              <w:rPr>
                <w:rFonts w:ascii="Arial" w:hAnsi="Arial" w:cs="Arial"/>
                <w:b/>
              </w:rPr>
              <w:t xml:space="preserve">Artículo 27. </w:t>
            </w:r>
            <w:r w:rsidRPr="005B49D1">
              <w:rPr>
                <w:rFonts w:ascii="Arial" w:hAnsi="Arial" w:cs="Arial"/>
              </w:rPr>
              <w:t xml:space="preserve">Los consejos previstos en esta Ley, funcionarán en pleno o por comisiones, pudiendo ser éstas permanentes o especiales. Actuarán válidamente con la asistencia de la mitad más uno de sus miembros.  </w:t>
            </w:r>
          </w:p>
          <w:p w:rsidR="00DD1207" w:rsidRPr="005B49D1" w:rsidRDefault="00DD1207" w:rsidP="00D0777B">
            <w:pPr>
              <w:jc w:val="both"/>
              <w:rPr>
                <w:rFonts w:ascii="Arial" w:hAnsi="Arial" w:cs="Arial"/>
              </w:rPr>
            </w:pPr>
          </w:p>
          <w:p w:rsidR="00DD1207" w:rsidRPr="005B49D1" w:rsidRDefault="00DD1207" w:rsidP="00D0777B">
            <w:pPr>
              <w:pStyle w:val="Prrafodelista"/>
              <w:numPr>
                <w:ilvl w:val="0"/>
                <w:numId w:val="7"/>
              </w:numPr>
              <w:jc w:val="both"/>
              <w:rPr>
                <w:rFonts w:ascii="Arial" w:hAnsi="Arial" w:cs="Arial"/>
              </w:rPr>
            </w:pPr>
            <w:r w:rsidRPr="005B49D1">
              <w:rPr>
                <w:rFonts w:ascii="Arial" w:hAnsi="Arial" w:cs="Arial"/>
              </w:rPr>
              <w:t>Sus resoluciones podrán ser votadas de acuerdo con cualquiera de los siguientes sistemas:</w:t>
            </w:r>
          </w:p>
          <w:p w:rsidR="00DD1207" w:rsidRPr="005B49D1" w:rsidRDefault="00DD1207" w:rsidP="00D0777B">
            <w:pPr>
              <w:pStyle w:val="Prrafodelista"/>
              <w:ind w:left="780"/>
              <w:jc w:val="both"/>
              <w:rPr>
                <w:rFonts w:ascii="Arial" w:hAnsi="Arial" w:cs="Arial"/>
              </w:rPr>
            </w:pPr>
          </w:p>
          <w:p w:rsidR="00DD1207" w:rsidRPr="005B49D1" w:rsidRDefault="00DD1207" w:rsidP="00D0777B">
            <w:pPr>
              <w:pStyle w:val="Prrafodelista"/>
              <w:numPr>
                <w:ilvl w:val="0"/>
                <w:numId w:val="8"/>
              </w:numPr>
              <w:jc w:val="both"/>
              <w:rPr>
                <w:rFonts w:ascii="Arial" w:hAnsi="Arial" w:cs="Arial"/>
              </w:rPr>
            </w:pPr>
            <w:r w:rsidRPr="005B49D1">
              <w:rPr>
                <w:rFonts w:ascii="Arial" w:hAnsi="Arial" w:cs="Arial"/>
                <w:b/>
              </w:rPr>
              <w:t>Votación Nominal:</w:t>
            </w:r>
            <w:r w:rsidRPr="005B49D1">
              <w:rPr>
                <w:rFonts w:ascii="Arial" w:hAnsi="Arial" w:cs="Arial"/>
              </w:rPr>
              <w:t xml:space="preserve"> en los casos donde se discuta la aprobación de reglamentos, estatutos o cualquier otro ordenamiento jurídico interno;</w:t>
            </w:r>
          </w:p>
          <w:p w:rsidR="00DD1207" w:rsidRPr="005B49D1" w:rsidRDefault="00DD1207" w:rsidP="00D0777B">
            <w:pPr>
              <w:pStyle w:val="Prrafodelista"/>
              <w:numPr>
                <w:ilvl w:val="0"/>
                <w:numId w:val="8"/>
              </w:numPr>
              <w:jc w:val="both"/>
              <w:rPr>
                <w:rFonts w:ascii="Arial" w:hAnsi="Arial" w:cs="Arial"/>
              </w:rPr>
            </w:pPr>
            <w:r w:rsidRPr="005B49D1">
              <w:rPr>
                <w:rFonts w:ascii="Arial" w:hAnsi="Arial" w:cs="Arial"/>
              </w:rPr>
              <w:t>Votación Secreta: en los casos en que se vote la elección del Rector General o cualquier  otro cargo del gobierno universitario, y</w:t>
            </w:r>
          </w:p>
          <w:p w:rsidR="00DD1207" w:rsidRPr="00A348C3" w:rsidRDefault="00DD1207" w:rsidP="00D0777B">
            <w:pPr>
              <w:pStyle w:val="Prrafodelista"/>
              <w:numPr>
                <w:ilvl w:val="0"/>
                <w:numId w:val="8"/>
              </w:numPr>
              <w:jc w:val="both"/>
              <w:rPr>
                <w:rFonts w:ascii="Arial" w:hAnsi="Arial" w:cs="Arial"/>
              </w:rPr>
            </w:pPr>
            <w:r w:rsidRPr="005B49D1">
              <w:rPr>
                <w:rFonts w:ascii="Arial" w:hAnsi="Arial" w:cs="Arial"/>
              </w:rPr>
              <w:t xml:space="preserve">Votación Económica: para la aprobación del orden del día, resoluciones de procedimiento y mero trámite, así como </w:t>
            </w:r>
            <w:r w:rsidRPr="005B49D1">
              <w:rPr>
                <w:rFonts w:ascii="Arial" w:hAnsi="Arial" w:cs="Arial"/>
              </w:rPr>
              <w:lastRenderedPageBreak/>
              <w:t>cualquiera otra clase  de dictámenes no contemplados en los dos incisos anteriores.</w:t>
            </w:r>
          </w:p>
        </w:tc>
        <w:tc>
          <w:tcPr>
            <w:tcW w:w="4111" w:type="dxa"/>
          </w:tcPr>
          <w:p w:rsidR="00DD1207" w:rsidRDefault="00DD1207" w:rsidP="00D0777B">
            <w:pPr>
              <w:pStyle w:val="Prrafodelista"/>
              <w:numPr>
                <w:ilvl w:val="0"/>
                <w:numId w:val="4"/>
              </w:numPr>
              <w:ind w:left="459"/>
              <w:jc w:val="both"/>
              <w:rPr>
                <w:rFonts w:ascii="Arial" w:hAnsi="Arial" w:cs="Arial"/>
              </w:rPr>
            </w:pPr>
            <w:r w:rsidRPr="00EA15C9">
              <w:rPr>
                <w:rFonts w:ascii="Arial" w:hAnsi="Arial" w:cs="Arial"/>
              </w:rPr>
              <w:lastRenderedPageBreak/>
              <w:t xml:space="preserve">Se deben revisar los dictámenes de modificación de planes de estudio que ha aprobado el </w:t>
            </w:r>
            <w:r>
              <w:rPr>
                <w:rFonts w:ascii="Arial" w:hAnsi="Arial" w:cs="Arial"/>
              </w:rPr>
              <w:t xml:space="preserve">H. </w:t>
            </w:r>
            <w:r w:rsidRPr="00EA15C9">
              <w:rPr>
                <w:rFonts w:ascii="Arial" w:hAnsi="Arial" w:cs="Arial"/>
              </w:rPr>
              <w:t>Consejo General Universitario a propuesta de la Comisión de Educación</w:t>
            </w:r>
            <w:r>
              <w:rPr>
                <w:rFonts w:ascii="Arial" w:hAnsi="Arial" w:cs="Arial"/>
              </w:rPr>
              <w:t xml:space="preserve"> que contengan disposiciones que son materia de los reglamentos aprobados por el HCGU.</w:t>
            </w:r>
          </w:p>
          <w:p w:rsidR="00DD1207" w:rsidRDefault="00DD1207" w:rsidP="00D0777B">
            <w:pPr>
              <w:pStyle w:val="Prrafodelista"/>
              <w:ind w:left="459"/>
              <w:jc w:val="both"/>
              <w:rPr>
                <w:rFonts w:ascii="Arial" w:hAnsi="Arial" w:cs="Arial"/>
              </w:rPr>
            </w:pPr>
          </w:p>
          <w:p w:rsidR="00DD1207" w:rsidRDefault="00DD1207" w:rsidP="00D0777B">
            <w:pPr>
              <w:pStyle w:val="Prrafodelista"/>
              <w:numPr>
                <w:ilvl w:val="0"/>
                <w:numId w:val="4"/>
              </w:numPr>
              <w:ind w:left="459"/>
              <w:jc w:val="both"/>
              <w:rPr>
                <w:rFonts w:ascii="Arial" w:hAnsi="Arial" w:cs="Arial"/>
              </w:rPr>
            </w:pPr>
            <w:r>
              <w:rPr>
                <w:rFonts w:ascii="Arial" w:hAnsi="Arial" w:cs="Arial"/>
              </w:rPr>
              <w:t xml:space="preserve">Con sustento en ello, deberán </w:t>
            </w:r>
            <w:r>
              <w:rPr>
                <w:rFonts w:ascii="Arial" w:hAnsi="Arial" w:cs="Arial"/>
              </w:rPr>
              <w:lastRenderedPageBreak/>
              <w:t>actualizarse los estatutos y reglamentos correspondientes.</w:t>
            </w:r>
          </w:p>
          <w:p w:rsidR="00DD1207" w:rsidRPr="00EA15C9" w:rsidRDefault="00DD1207" w:rsidP="00D0777B">
            <w:pPr>
              <w:pStyle w:val="Prrafodelista"/>
              <w:ind w:left="459"/>
              <w:jc w:val="both"/>
              <w:rPr>
                <w:rFonts w:ascii="Arial" w:hAnsi="Arial" w:cs="Arial"/>
              </w:rPr>
            </w:pPr>
          </w:p>
          <w:p w:rsidR="00DD1207" w:rsidRPr="00EA15C9" w:rsidRDefault="00DD1207" w:rsidP="00D0777B">
            <w:pPr>
              <w:pStyle w:val="Prrafodelista"/>
              <w:numPr>
                <w:ilvl w:val="0"/>
                <w:numId w:val="4"/>
              </w:numPr>
              <w:ind w:left="459"/>
              <w:jc w:val="both"/>
              <w:rPr>
                <w:rFonts w:ascii="Arial" w:hAnsi="Arial" w:cs="Arial"/>
              </w:rPr>
            </w:pPr>
          </w:p>
        </w:tc>
        <w:tc>
          <w:tcPr>
            <w:tcW w:w="4253" w:type="dxa"/>
          </w:tcPr>
          <w:p w:rsidR="00DD1207" w:rsidRDefault="00DD1207" w:rsidP="00D0777B">
            <w:pPr>
              <w:jc w:val="both"/>
              <w:rPr>
                <w:rFonts w:ascii="Arial" w:hAnsi="Arial" w:cs="Arial"/>
              </w:rPr>
            </w:pPr>
            <w:r>
              <w:rPr>
                <w:rFonts w:ascii="Arial" w:hAnsi="Arial" w:cs="Arial"/>
              </w:rPr>
              <w:lastRenderedPageBreak/>
              <w:t>La Comisión de Educación ha aprobado dictámenes de modificaciones de planes de estudio que incluyen asuntos que son materia de la Comisión de Normatividad. Por ejemplo:</w:t>
            </w:r>
          </w:p>
          <w:p w:rsidR="00DD1207" w:rsidRDefault="00DD1207" w:rsidP="00D0777B">
            <w:pPr>
              <w:jc w:val="both"/>
              <w:rPr>
                <w:rFonts w:ascii="Arial" w:hAnsi="Arial" w:cs="Arial"/>
              </w:rPr>
            </w:pPr>
          </w:p>
          <w:p w:rsidR="00DD1207" w:rsidRPr="009B0FC8" w:rsidRDefault="00DD1207" w:rsidP="00D0777B">
            <w:pPr>
              <w:pStyle w:val="Prrafodelista"/>
              <w:numPr>
                <w:ilvl w:val="0"/>
                <w:numId w:val="5"/>
              </w:numPr>
              <w:ind w:left="459"/>
              <w:contextualSpacing w:val="0"/>
              <w:jc w:val="both"/>
              <w:rPr>
                <w:rFonts w:ascii="Arial" w:hAnsi="Arial" w:cs="Arial"/>
              </w:rPr>
            </w:pPr>
            <w:r w:rsidRPr="009B0FC8">
              <w:rPr>
                <w:rFonts w:ascii="Arial" w:hAnsi="Arial" w:cs="Arial"/>
              </w:rPr>
              <w:t>En los últimos dictámenes que prueba las modificaciones a los planes de estudio del CUCEA se desprenden de los resolutivos, entre otros aspectos lo siguiente:</w:t>
            </w:r>
          </w:p>
          <w:p w:rsidR="00DD1207" w:rsidRPr="009B0FC8" w:rsidRDefault="00DD1207" w:rsidP="00D0777B">
            <w:pPr>
              <w:pStyle w:val="Prrafodelista"/>
              <w:ind w:left="1560"/>
              <w:jc w:val="both"/>
              <w:rPr>
                <w:rFonts w:ascii="Arial" w:hAnsi="Arial" w:cs="Arial"/>
              </w:rPr>
            </w:pPr>
          </w:p>
          <w:p w:rsidR="00DD1207" w:rsidRPr="009B0FC8" w:rsidRDefault="00DD1207" w:rsidP="00D0777B">
            <w:pPr>
              <w:pStyle w:val="Prrafodelista"/>
              <w:numPr>
                <w:ilvl w:val="0"/>
                <w:numId w:val="6"/>
              </w:numPr>
              <w:ind w:left="884"/>
              <w:contextualSpacing w:val="0"/>
              <w:jc w:val="both"/>
              <w:rPr>
                <w:rFonts w:ascii="Arial" w:hAnsi="Arial" w:cs="Arial"/>
              </w:rPr>
            </w:pPr>
            <w:r w:rsidRPr="009B0FC8">
              <w:rPr>
                <w:rFonts w:ascii="Arial" w:hAnsi="Arial" w:cs="Arial"/>
              </w:rPr>
              <w:t>Se dan funciones a la Secretaría Académica y a los coordinadores de carrera cuando estos temas son materia de actualización de  los estatutos de los centros universitarios a través de la Comisión de Normatividad que pudiera ser conjunta con la Comisión de Educación (las modificaciones a los reglamentos son nominales).</w:t>
            </w:r>
          </w:p>
          <w:p w:rsidR="00DD1207" w:rsidRPr="009B0FC8" w:rsidRDefault="00DD1207" w:rsidP="00D0777B">
            <w:pPr>
              <w:pStyle w:val="Prrafodelista"/>
              <w:ind w:left="884"/>
              <w:jc w:val="both"/>
              <w:rPr>
                <w:rFonts w:ascii="Arial" w:hAnsi="Arial" w:cs="Arial"/>
              </w:rPr>
            </w:pPr>
          </w:p>
          <w:p w:rsidR="00DD1207" w:rsidRPr="009B0FC8" w:rsidRDefault="00DD1207" w:rsidP="00D0777B">
            <w:pPr>
              <w:pStyle w:val="Prrafodelista"/>
              <w:numPr>
                <w:ilvl w:val="0"/>
                <w:numId w:val="6"/>
              </w:numPr>
              <w:ind w:left="884"/>
              <w:contextualSpacing w:val="0"/>
              <w:jc w:val="both"/>
              <w:rPr>
                <w:rFonts w:ascii="Arial" w:hAnsi="Arial" w:cs="Arial"/>
              </w:rPr>
            </w:pPr>
            <w:r>
              <w:rPr>
                <w:rFonts w:ascii="Arial" w:hAnsi="Arial" w:cs="Arial"/>
              </w:rPr>
              <w:t xml:space="preserve">Se incluye como </w:t>
            </w:r>
            <w:r w:rsidRPr="00EA15C9">
              <w:rPr>
                <w:rFonts w:ascii="Arial" w:hAnsi="Arial" w:cs="Arial"/>
                <w:b/>
              </w:rPr>
              <w:t>obligatorio,</w:t>
            </w:r>
            <w:r w:rsidRPr="009B0FC8">
              <w:rPr>
                <w:rFonts w:ascii="Arial" w:hAnsi="Arial" w:cs="Arial"/>
              </w:rPr>
              <w:t xml:space="preserve"> que los alumnos inicien la prestación de su servicio social al cumplir el 60% de los créditos de</w:t>
            </w:r>
            <w:r>
              <w:rPr>
                <w:rFonts w:ascii="Arial" w:hAnsi="Arial" w:cs="Arial"/>
              </w:rPr>
              <w:t>l plan de estudios.</w:t>
            </w:r>
          </w:p>
          <w:p w:rsidR="00DD1207" w:rsidRPr="009B0FC8" w:rsidRDefault="00DD1207" w:rsidP="00D0777B">
            <w:pPr>
              <w:pStyle w:val="Prrafodelista"/>
              <w:ind w:left="884"/>
              <w:jc w:val="both"/>
              <w:rPr>
                <w:rFonts w:ascii="Arial" w:hAnsi="Arial" w:cs="Arial"/>
              </w:rPr>
            </w:pPr>
          </w:p>
          <w:p w:rsidR="00DD1207" w:rsidRDefault="00DD1207" w:rsidP="00D0777B">
            <w:pPr>
              <w:pStyle w:val="Prrafodelista"/>
              <w:ind w:left="884"/>
              <w:jc w:val="both"/>
              <w:rPr>
                <w:rFonts w:ascii="Arial" w:hAnsi="Arial" w:cs="Arial"/>
              </w:rPr>
            </w:pPr>
            <w:r w:rsidRPr="009B0FC8">
              <w:rPr>
                <w:rFonts w:ascii="Arial" w:hAnsi="Arial" w:cs="Arial"/>
              </w:rPr>
              <w:t xml:space="preserve">Esto es materia del Reglamento General para la Prestación del Servicio Social, toda vez que éste prevé como optativo del alumno el iniciar el servicio social al cumplir el citado porcentaje de créditos. </w:t>
            </w:r>
          </w:p>
          <w:p w:rsidR="00DD1207" w:rsidRDefault="00DD1207" w:rsidP="00D0777B">
            <w:pPr>
              <w:jc w:val="both"/>
              <w:rPr>
                <w:rFonts w:ascii="Arial" w:hAnsi="Arial" w:cs="Arial"/>
              </w:rPr>
            </w:pPr>
          </w:p>
          <w:p w:rsidR="00DD1207" w:rsidRDefault="00DD1207" w:rsidP="00D0777B">
            <w:pPr>
              <w:jc w:val="both"/>
              <w:rPr>
                <w:rFonts w:ascii="Arial" w:hAnsi="Arial" w:cs="Arial"/>
              </w:rPr>
            </w:pPr>
          </w:p>
          <w:p w:rsidR="00DD1207" w:rsidRPr="005B49D1" w:rsidRDefault="00DD1207" w:rsidP="00D0777B">
            <w:pPr>
              <w:jc w:val="both"/>
              <w:rPr>
                <w:rFonts w:ascii="Arial" w:hAnsi="Arial" w:cs="Arial"/>
              </w:rPr>
            </w:pPr>
            <w:r>
              <w:rPr>
                <w:rFonts w:ascii="Arial" w:hAnsi="Arial" w:cs="Arial"/>
              </w:rPr>
              <w:t xml:space="preserve">La modificación </w:t>
            </w:r>
            <w:r>
              <w:rPr>
                <w:rFonts w:ascii="Arial" w:hAnsi="Arial" w:cs="Arial"/>
              </w:rPr>
              <w:t>a cualquier</w:t>
            </w:r>
            <w:r>
              <w:rPr>
                <w:rFonts w:ascii="Arial" w:hAnsi="Arial" w:cs="Arial"/>
              </w:rPr>
              <w:t xml:space="preserve"> reglamento lleva el mismo proceso de su aprobación, aunque se encuentre en un </w:t>
            </w:r>
            <w:r>
              <w:rPr>
                <w:rFonts w:ascii="Arial" w:hAnsi="Arial" w:cs="Arial"/>
              </w:rPr>
              <w:lastRenderedPageBreak/>
              <w:t>documento distinto a éste.</w:t>
            </w:r>
          </w:p>
        </w:tc>
      </w:tr>
    </w:tbl>
    <w:p w:rsidR="00D0777B" w:rsidRDefault="00D0777B"/>
    <w:p w:rsidR="00D0777B" w:rsidRDefault="00D0777B"/>
    <w:tbl>
      <w:tblPr>
        <w:tblStyle w:val="Tablaconcuadrcula"/>
        <w:tblW w:w="13575" w:type="dxa"/>
        <w:tblLook w:val="04A0" w:firstRow="1" w:lastRow="0" w:firstColumn="1" w:lastColumn="0" w:noHBand="0" w:noVBand="1"/>
      </w:tblPr>
      <w:tblGrid>
        <w:gridCol w:w="5211"/>
        <w:gridCol w:w="4111"/>
        <w:gridCol w:w="4253"/>
      </w:tblGrid>
      <w:tr w:rsidR="00274906" w:rsidRPr="00A348C3" w:rsidTr="00D0777B">
        <w:trPr>
          <w:tblHeader/>
        </w:trPr>
        <w:tc>
          <w:tcPr>
            <w:tcW w:w="5211" w:type="dxa"/>
            <w:shd w:val="clear" w:color="auto" w:fill="A6A6A6" w:themeFill="background1" w:themeFillShade="A6"/>
            <w:vAlign w:val="center"/>
          </w:tcPr>
          <w:p w:rsidR="00274906" w:rsidRPr="00D0777B" w:rsidRDefault="00274906" w:rsidP="00D0777B">
            <w:pPr>
              <w:jc w:val="center"/>
              <w:rPr>
                <w:rFonts w:ascii="Arial" w:hAnsi="Arial" w:cs="Arial"/>
                <w:b/>
              </w:rPr>
            </w:pPr>
            <w:r w:rsidRPr="00D0777B">
              <w:rPr>
                <w:rFonts w:ascii="Arial" w:hAnsi="Arial" w:cs="Arial"/>
                <w:b/>
              </w:rPr>
              <w:t xml:space="preserve">Acuerdo </w:t>
            </w:r>
            <w:r w:rsidR="00D0777B" w:rsidRPr="00D0777B">
              <w:rPr>
                <w:rFonts w:ascii="ArialMT" w:hAnsi="ArialMT" w:cs="ArialMT"/>
                <w:b/>
              </w:rPr>
              <w:t>establece los lineamientos para prom</w:t>
            </w:r>
            <w:r w:rsidR="00D0777B" w:rsidRPr="00D0777B">
              <w:rPr>
                <w:rFonts w:ascii="ArialMT" w:hAnsi="ArialMT" w:cs="ArialMT"/>
                <w:b/>
              </w:rPr>
              <w:t>over la flexibilidad curricular</w:t>
            </w:r>
          </w:p>
        </w:tc>
        <w:tc>
          <w:tcPr>
            <w:tcW w:w="4111" w:type="dxa"/>
            <w:shd w:val="clear" w:color="auto" w:fill="A6A6A6" w:themeFill="background1" w:themeFillShade="A6"/>
            <w:vAlign w:val="center"/>
          </w:tcPr>
          <w:p w:rsidR="00274906" w:rsidRPr="00A348C3" w:rsidRDefault="00274906" w:rsidP="00D0777B">
            <w:pPr>
              <w:jc w:val="center"/>
              <w:rPr>
                <w:rFonts w:ascii="Arial" w:hAnsi="Arial" w:cs="Arial"/>
                <w:b/>
              </w:rPr>
            </w:pPr>
            <w:r>
              <w:rPr>
                <w:rFonts w:ascii="Arial" w:hAnsi="Arial" w:cs="Arial"/>
                <w:b/>
              </w:rPr>
              <w:t>Propuesta</w:t>
            </w:r>
          </w:p>
        </w:tc>
        <w:tc>
          <w:tcPr>
            <w:tcW w:w="4253" w:type="dxa"/>
            <w:shd w:val="clear" w:color="auto" w:fill="A6A6A6" w:themeFill="background1" w:themeFillShade="A6"/>
            <w:vAlign w:val="center"/>
          </w:tcPr>
          <w:p w:rsidR="00274906" w:rsidRPr="00A348C3" w:rsidRDefault="00274906" w:rsidP="00D0777B">
            <w:pPr>
              <w:jc w:val="center"/>
              <w:rPr>
                <w:rFonts w:ascii="Arial" w:hAnsi="Arial" w:cs="Arial"/>
                <w:b/>
              </w:rPr>
            </w:pPr>
            <w:r>
              <w:rPr>
                <w:rFonts w:ascii="Arial" w:hAnsi="Arial" w:cs="Arial"/>
                <w:b/>
              </w:rPr>
              <w:t>Comentario</w:t>
            </w:r>
          </w:p>
        </w:tc>
      </w:tr>
      <w:tr w:rsidR="00274906" w:rsidRPr="00B729BA" w:rsidTr="00AE417C">
        <w:tc>
          <w:tcPr>
            <w:tcW w:w="5211" w:type="dxa"/>
          </w:tcPr>
          <w:p w:rsidR="00D0777B" w:rsidRDefault="00D0777B" w:rsidP="00D0777B">
            <w:pPr>
              <w:jc w:val="both"/>
              <w:rPr>
                <w:rFonts w:ascii="Arial" w:hAnsi="Arial" w:cs="Arial"/>
                <w:b/>
              </w:rPr>
            </w:pPr>
          </w:p>
          <w:p w:rsidR="00274906" w:rsidRPr="0015384D" w:rsidRDefault="00FE71AA" w:rsidP="00D0777B">
            <w:pPr>
              <w:jc w:val="both"/>
              <w:rPr>
                <w:rFonts w:ascii="ArialMT" w:hAnsi="ArialMT" w:cs="ArialMT"/>
                <w:b/>
              </w:rPr>
            </w:pPr>
            <w:r w:rsidRPr="0015384D">
              <w:rPr>
                <w:rFonts w:ascii="Arial" w:hAnsi="Arial" w:cs="Arial"/>
                <w:b/>
              </w:rPr>
              <w:t>Acuerdo</w:t>
            </w:r>
            <w:r w:rsidR="0015384D" w:rsidRPr="0015384D">
              <w:rPr>
                <w:rFonts w:ascii="Arial" w:hAnsi="Arial" w:cs="Arial"/>
                <w:b/>
              </w:rPr>
              <w:t xml:space="preserve"> </w:t>
            </w:r>
            <w:r w:rsidR="0015384D" w:rsidRPr="0015384D">
              <w:rPr>
                <w:rFonts w:ascii="ArialMT" w:hAnsi="ArialMT" w:cs="ArialMT"/>
                <w:b/>
              </w:rPr>
              <w:t>No. RGS/001/2012</w:t>
            </w:r>
          </w:p>
          <w:p w:rsidR="0015384D" w:rsidRDefault="0015384D" w:rsidP="00D0777B">
            <w:pPr>
              <w:jc w:val="both"/>
              <w:rPr>
                <w:rFonts w:ascii="ArialMT" w:hAnsi="ArialMT" w:cs="ArialMT"/>
              </w:rPr>
            </w:pPr>
          </w:p>
          <w:p w:rsidR="00FE71AA" w:rsidRPr="0015384D" w:rsidRDefault="00FE71AA" w:rsidP="00D0777B">
            <w:pPr>
              <w:jc w:val="both"/>
              <w:rPr>
                <w:rFonts w:ascii="Arial" w:hAnsi="Arial" w:cs="Arial"/>
              </w:rPr>
            </w:pPr>
          </w:p>
          <w:p w:rsidR="00FE71AA" w:rsidRPr="0015384D" w:rsidRDefault="00FE71AA" w:rsidP="00D0777B">
            <w:pPr>
              <w:tabs>
                <w:tab w:val="left" w:pos="567"/>
              </w:tabs>
              <w:jc w:val="both"/>
              <w:rPr>
                <w:rFonts w:ascii="Arial" w:hAnsi="Arial" w:cs="Arial"/>
                <w:b/>
                <w:szCs w:val="24"/>
              </w:rPr>
            </w:pPr>
            <w:r w:rsidRPr="0015384D">
              <w:rPr>
                <w:rFonts w:ascii="Arial" w:hAnsi="Arial" w:cs="Arial"/>
                <w:b/>
                <w:szCs w:val="24"/>
              </w:rPr>
              <w:t xml:space="preserve">Noveno. </w:t>
            </w:r>
            <w:r w:rsidRPr="0015384D">
              <w:rPr>
                <w:rFonts w:ascii="Arial" w:hAnsi="Arial" w:cs="Arial"/>
                <w:szCs w:val="24"/>
              </w:rPr>
              <w:t>En tanto no se emitan los lineamientos académicos</w:t>
            </w:r>
            <w:r w:rsidRPr="0015384D">
              <w:rPr>
                <w:rFonts w:ascii="Arial" w:hAnsi="Arial" w:cs="Arial"/>
                <w:szCs w:val="24"/>
              </w:rPr>
              <w:t xml:space="preserve"> </w:t>
            </w:r>
            <w:r w:rsidRPr="0015384D">
              <w:rPr>
                <w:rFonts w:ascii="Arial" w:hAnsi="Arial" w:cs="Arial"/>
                <w:szCs w:val="24"/>
              </w:rPr>
              <w:t>a que hacen referencia las fracciones V del Acuerdo Tercero,</w:t>
            </w:r>
            <w:r w:rsidRPr="0015384D">
              <w:rPr>
                <w:rFonts w:ascii="Arial" w:hAnsi="Arial" w:cs="Arial"/>
                <w:szCs w:val="24"/>
              </w:rPr>
              <w:t xml:space="preserve"> </w:t>
            </w:r>
            <w:r w:rsidRPr="0015384D">
              <w:rPr>
                <w:rFonts w:ascii="Arial" w:hAnsi="Arial" w:cs="Arial"/>
                <w:szCs w:val="24"/>
              </w:rPr>
              <w:t>VI del Acuerdo Cuarto, VI del Acuerdo Quinto y III del Acuerdo</w:t>
            </w:r>
            <w:r w:rsidRPr="0015384D">
              <w:rPr>
                <w:rFonts w:ascii="Arial" w:hAnsi="Arial" w:cs="Arial"/>
                <w:szCs w:val="24"/>
              </w:rPr>
              <w:t xml:space="preserve"> </w:t>
            </w:r>
            <w:r w:rsidRPr="0015384D">
              <w:rPr>
                <w:rFonts w:ascii="Arial" w:hAnsi="Arial" w:cs="Arial"/>
                <w:szCs w:val="24"/>
              </w:rPr>
              <w:t>Sexto, las Comisiones de Educación y de Revalidación de</w:t>
            </w:r>
            <w:r w:rsidRPr="0015384D">
              <w:rPr>
                <w:rFonts w:ascii="Arial" w:hAnsi="Arial" w:cs="Arial"/>
                <w:szCs w:val="24"/>
              </w:rPr>
              <w:t xml:space="preserve"> </w:t>
            </w:r>
            <w:r w:rsidRPr="0015384D">
              <w:rPr>
                <w:rFonts w:ascii="Arial" w:hAnsi="Arial" w:cs="Arial"/>
                <w:szCs w:val="24"/>
              </w:rPr>
              <w:t>Estudios, Títulos y Grados tomarán en consideración lo</w:t>
            </w:r>
            <w:r w:rsidRPr="0015384D">
              <w:rPr>
                <w:rFonts w:ascii="Arial" w:hAnsi="Arial" w:cs="Arial"/>
                <w:szCs w:val="24"/>
              </w:rPr>
              <w:t xml:space="preserve"> </w:t>
            </w:r>
            <w:r w:rsidRPr="0015384D">
              <w:rPr>
                <w:rFonts w:ascii="Arial" w:hAnsi="Arial" w:cs="Arial"/>
                <w:szCs w:val="24"/>
              </w:rPr>
              <w:t>establecido en el Capítulo IV del Reglamento General de</w:t>
            </w:r>
            <w:r w:rsidRPr="0015384D">
              <w:rPr>
                <w:rFonts w:ascii="Arial" w:hAnsi="Arial" w:cs="Arial"/>
                <w:szCs w:val="24"/>
              </w:rPr>
              <w:t xml:space="preserve"> </w:t>
            </w:r>
            <w:r w:rsidRPr="0015384D">
              <w:rPr>
                <w:rFonts w:ascii="Arial" w:hAnsi="Arial" w:cs="Arial"/>
                <w:szCs w:val="24"/>
              </w:rPr>
              <w:t>Planes de Estudio de la Universidad de Guadalajara.</w:t>
            </w:r>
          </w:p>
          <w:p w:rsidR="00FE71AA" w:rsidRPr="0015384D" w:rsidRDefault="00FE71AA" w:rsidP="00D0777B">
            <w:pPr>
              <w:jc w:val="both"/>
              <w:rPr>
                <w:rFonts w:ascii="Arial" w:hAnsi="Arial" w:cs="Arial"/>
              </w:rPr>
            </w:pPr>
          </w:p>
          <w:p w:rsidR="0015384D" w:rsidRPr="0015384D" w:rsidRDefault="0015384D" w:rsidP="00D0777B">
            <w:pPr>
              <w:jc w:val="both"/>
              <w:rPr>
                <w:rFonts w:ascii="Arial" w:hAnsi="Arial" w:cs="Arial"/>
              </w:rPr>
            </w:pPr>
            <w:r w:rsidRPr="0015384D">
              <w:rPr>
                <w:rFonts w:ascii="Arial" w:hAnsi="Arial" w:cs="Arial"/>
                <w:b/>
                <w:bCs/>
              </w:rPr>
              <w:t xml:space="preserve">Décimo. </w:t>
            </w:r>
            <w:r w:rsidRPr="0015384D">
              <w:rPr>
                <w:rFonts w:ascii="Arial" w:hAnsi="Arial" w:cs="Arial"/>
              </w:rPr>
              <w:t xml:space="preserve">El Consejo Técnico de Control </w:t>
            </w:r>
            <w:r w:rsidRPr="0015384D">
              <w:rPr>
                <w:rFonts w:ascii="Arial" w:hAnsi="Arial" w:cs="Arial"/>
              </w:rPr>
              <w:t>E</w:t>
            </w:r>
            <w:r w:rsidRPr="0015384D">
              <w:rPr>
                <w:rFonts w:ascii="Arial" w:hAnsi="Arial" w:cs="Arial"/>
              </w:rPr>
              <w:t>scolar hará</w:t>
            </w:r>
            <w:r w:rsidRPr="0015384D">
              <w:rPr>
                <w:rFonts w:ascii="Arial" w:hAnsi="Arial" w:cs="Arial"/>
              </w:rPr>
              <w:t xml:space="preserve"> </w:t>
            </w:r>
            <w:r w:rsidRPr="0015384D">
              <w:rPr>
                <w:rFonts w:ascii="Arial" w:hAnsi="Arial" w:cs="Arial"/>
              </w:rPr>
              <w:t>el seguimiento de la operación del presente Acuerdo e</w:t>
            </w:r>
            <w:r w:rsidRPr="0015384D">
              <w:rPr>
                <w:rFonts w:ascii="Arial" w:hAnsi="Arial" w:cs="Arial"/>
              </w:rPr>
              <w:t xml:space="preserve"> </w:t>
            </w:r>
            <w:r w:rsidRPr="0015384D">
              <w:rPr>
                <w:rFonts w:ascii="Arial" w:hAnsi="Arial" w:cs="Arial"/>
              </w:rPr>
              <w:t>informará en forma sistemática a la Vicerrectoría Ejecutiva y</w:t>
            </w:r>
            <w:r w:rsidRPr="0015384D">
              <w:rPr>
                <w:rFonts w:ascii="Arial" w:hAnsi="Arial" w:cs="Arial"/>
              </w:rPr>
              <w:t xml:space="preserve"> </w:t>
            </w:r>
            <w:r w:rsidRPr="0015384D">
              <w:rPr>
                <w:rFonts w:ascii="Arial" w:hAnsi="Arial" w:cs="Arial"/>
              </w:rPr>
              <w:t>a la Secretaría General con el propósito de que se tomen las</w:t>
            </w:r>
            <w:r w:rsidRPr="0015384D">
              <w:rPr>
                <w:rFonts w:ascii="Arial" w:hAnsi="Arial" w:cs="Arial"/>
              </w:rPr>
              <w:t xml:space="preserve"> </w:t>
            </w:r>
            <w:r w:rsidRPr="0015384D">
              <w:rPr>
                <w:rFonts w:ascii="Arial" w:hAnsi="Arial" w:cs="Arial"/>
              </w:rPr>
              <w:t>medidas oportunas para su óptima ejecución.</w:t>
            </w:r>
          </w:p>
          <w:p w:rsidR="0015384D" w:rsidRPr="0015384D" w:rsidRDefault="0015384D" w:rsidP="00D0777B">
            <w:pPr>
              <w:jc w:val="both"/>
              <w:rPr>
                <w:rFonts w:ascii="Arial" w:hAnsi="Arial" w:cs="Arial"/>
              </w:rPr>
            </w:pPr>
          </w:p>
          <w:p w:rsidR="0015384D" w:rsidRPr="0015384D" w:rsidRDefault="0015384D" w:rsidP="00D0777B">
            <w:pPr>
              <w:jc w:val="both"/>
              <w:rPr>
                <w:rFonts w:ascii="Arial" w:hAnsi="Arial" w:cs="Arial"/>
              </w:rPr>
            </w:pPr>
            <w:r w:rsidRPr="0015384D">
              <w:rPr>
                <w:rFonts w:ascii="Arial" w:hAnsi="Arial" w:cs="Arial"/>
                <w:b/>
                <w:bCs/>
              </w:rPr>
              <w:t xml:space="preserve">Décimo primero. </w:t>
            </w:r>
            <w:r w:rsidRPr="0015384D">
              <w:rPr>
                <w:rFonts w:ascii="Arial" w:hAnsi="Arial" w:cs="Arial"/>
              </w:rPr>
              <w:t>Con el fin de desarrollar las condiciones</w:t>
            </w:r>
            <w:r w:rsidRPr="0015384D">
              <w:rPr>
                <w:rFonts w:ascii="Arial" w:hAnsi="Arial" w:cs="Arial"/>
              </w:rPr>
              <w:t xml:space="preserve"> </w:t>
            </w:r>
            <w:r w:rsidRPr="0015384D">
              <w:rPr>
                <w:rFonts w:ascii="Arial" w:hAnsi="Arial" w:cs="Arial"/>
              </w:rPr>
              <w:t>óptimas para la flexibilidad curricular se crea el “Programa de</w:t>
            </w:r>
            <w:r w:rsidRPr="0015384D">
              <w:rPr>
                <w:rFonts w:ascii="Arial" w:hAnsi="Arial" w:cs="Arial"/>
              </w:rPr>
              <w:t xml:space="preserve"> </w:t>
            </w:r>
            <w:r w:rsidRPr="0015384D">
              <w:rPr>
                <w:rFonts w:ascii="Arial" w:hAnsi="Arial" w:cs="Arial"/>
              </w:rPr>
              <w:t xml:space="preserve">Fortalecimiento del </w:t>
            </w:r>
            <w:r w:rsidRPr="0015384D">
              <w:rPr>
                <w:rFonts w:ascii="Arial" w:hAnsi="Arial" w:cs="Arial"/>
              </w:rPr>
              <w:lastRenderedPageBreak/>
              <w:t>Sistema de Administración Escolar” el cual</w:t>
            </w:r>
            <w:r w:rsidRPr="0015384D">
              <w:rPr>
                <w:rFonts w:ascii="Arial" w:hAnsi="Arial" w:cs="Arial"/>
              </w:rPr>
              <w:t xml:space="preserve"> </w:t>
            </w:r>
            <w:r w:rsidRPr="0015384D">
              <w:rPr>
                <w:rFonts w:ascii="Arial" w:hAnsi="Arial" w:cs="Arial"/>
              </w:rPr>
              <w:t>se anexa al presente Acuerdo.</w:t>
            </w:r>
          </w:p>
          <w:p w:rsidR="0015384D" w:rsidRPr="0015384D" w:rsidRDefault="0015384D" w:rsidP="00D0777B">
            <w:pPr>
              <w:jc w:val="both"/>
              <w:rPr>
                <w:rFonts w:ascii="Arial" w:hAnsi="Arial" w:cs="Arial"/>
              </w:rPr>
            </w:pPr>
            <w:r w:rsidRPr="0015384D">
              <w:rPr>
                <w:rFonts w:ascii="Arial" w:hAnsi="Arial" w:cs="Arial"/>
              </w:rPr>
              <w:t xml:space="preserve"> </w:t>
            </w:r>
          </w:p>
          <w:p w:rsidR="0015384D" w:rsidRPr="0015384D" w:rsidRDefault="0015384D" w:rsidP="00D0777B">
            <w:pPr>
              <w:jc w:val="both"/>
              <w:rPr>
                <w:rFonts w:ascii="Arial" w:hAnsi="Arial" w:cs="Arial"/>
              </w:rPr>
            </w:pPr>
            <w:r w:rsidRPr="0015384D">
              <w:rPr>
                <w:rFonts w:ascii="Arial" w:hAnsi="Arial" w:cs="Arial"/>
                <w:b/>
                <w:bCs/>
              </w:rPr>
              <w:t xml:space="preserve">Décimo segundo. </w:t>
            </w:r>
            <w:r w:rsidRPr="0015384D">
              <w:rPr>
                <w:rFonts w:ascii="Arial" w:hAnsi="Arial" w:cs="Arial"/>
              </w:rPr>
              <w:t>Los responsables de la ejecución del</w:t>
            </w:r>
            <w:r w:rsidRPr="0015384D">
              <w:rPr>
                <w:rFonts w:ascii="Arial" w:hAnsi="Arial" w:cs="Arial"/>
              </w:rPr>
              <w:t xml:space="preserve"> </w:t>
            </w:r>
            <w:r w:rsidRPr="0015384D">
              <w:rPr>
                <w:rFonts w:ascii="Arial" w:hAnsi="Arial" w:cs="Arial"/>
              </w:rPr>
              <w:t>programa a que se hace referencia en el Acuerdo Décimo</w:t>
            </w:r>
            <w:r w:rsidRPr="0015384D">
              <w:rPr>
                <w:rFonts w:ascii="Arial" w:hAnsi="Arial" w:cs="Arial"/>
              </w:rPr>
              <w:t xml:space="preserve"> </w:t>
            </w:r>
            <w:r w:rsidRPr="0015384D">
              <w:rPr>
                <w:rFonts w:ascii="Arial" w:hAnsi="Arial" w:cs="Arial"/>
              </w:rPr>
              <w:t>primero son la Coordinación de Control Escolar, la Coordinación</w:t>
            </w:r>
            <w:r w:rsidRPr="0015384D">
              <w:rPr>
                <w:rFonts w:ascii="Arial" w:hAnsi="Arial" w:cs="Arial"/>
              </w:rPr>
              <w:t xml:space="preserve"> </w:t>
            </w:r>
            <w:r w:rsidRPr="0015384D">
              <w:rPr>
                <w:rFonts w:ascii="Arial" w:hAnsi="Arial" w:cs="Arial"/>
              </w:rPr>
              <w:t>General de Tecnologías de Información y el Consejo Técnico</w:t>
            </w:r>
            <w:r w:rsidRPr="0015384D">
              <w:rPr>
                <w:rFonts w:ascii="Arial" w:hAnsi="Arial" w:cs="Arial"/>
              </w:rPr>
              <w:t xml:space="preserve"> </w:t>
            </w:r>
            <w:r w:rsidRPr="0015384D">
              <w:rPr>
                <w:rFonts w:ascii="Arial" w:hAnsi="Arial" w:cs="Arial"/>
              </w:rPr>
              <w:t>de Control Escolar.</w:t>
            </w:r>
          </w:p>
          <w:p w:rsidR="0015384D" w:rsidRPr="0015384D" w:rsidRDefault="0015384D" w:rsidP="00D0777B">
            <w:pPr>
              <w:jc w:val="both"/>
              <w:rPr>
                <w:rFonts w:ascii="Arial" w:hAnsi="Arial" w:cs="Arial"/>
              </w:rPr>
            </w:pPr>
          </w:p>
          <w:p w:rsidR="0015384D" w:rsidRPr="0015384D" w:rsidRDefault="0015384D" w:rsidP="00D0777B">
            <w:pPr>
              <w:jc w:val="both"/>
              <w:rPr>
                <w:rFonts w:ascii="Arial" w:hAnsi="Arial" w:cs="Arial"/>
              </w:rPr>
            </w:pPr>
            <w:r w:rsidRPr="0015384D">
              <w:rPr>
                <w:rFonts w:ascii="Arial" w:hAnsi="Arial" w:cs="Arial"/>
                <w:b/>
                <w:bCs/>
              </w:rPr>
              <w:t xml:space="preserve">Décimo tercero. </w:t>
            </w:r>
            <w:r w:rsidRPr="0015384D">
              <w:rPr>
                <w:rFonts w:ascii="Arial" w:hAnsi="Arial" w:cs="Arial"/>
              </w:rPr>
              <w:t>La Oficina del Abogado General, a más tardar en</w:t>
            </w:r>
            <w:r w:rsidRPr="0015384D">
              <w:rPr>
                <w:rFonts w:ascii="Arial" w:hAnsi="Arial" w:cs="Arial"/>
              </w:rPr>
              <w:t xml:space="preserve"> </w:t>
            </w:r>
            <w:r w:rsidRPr="0015384D">
              <w:rPr>
                <w:rFonts w:ascii="Arial" w:hAnsi="Arial" w:cs="Arial"/>
              </w:rPr>
              <w:t>la segunda quincena de mayo del año en curso, presentará al Rector</w:t>
            </w:r>
            <w:r w:rsidRPr="0015384D">
              <w:rPr>
                <w:rFonts w:ascii="Arial" w:hAnsi="Arial" w:cs="Arial"/>
              </w:rPr>
              <w:t xml:space="preserve"> </w:t>
            </w:r>
            <w:r w:rsidRPr="0015384D">
              <w:rPr>
                <w:rFonts w:ascii="Arial" w:hAnsi="Arial" w:cs="Arial"/>
              </w:rPr>
              <w:t>General, la propuesta de actualización normativa correspondiente.</w:t>
            </w:r>
            <w:r w:rsidRPr="0015384D">
              <w:rPr>
                <w:rFonts w:ascii="Arial" w:hAnsi="Arial" w:cs="Arial"/>
              </w:rPr>
              <w:t xml:space="preserve"> </w:t>
            </w:r>
          </w:p>
          <w:p w:rsidR="00FE71AA" w:rsidRPr="0015384D" w:rsidRDefault="00FE71AA" w:rsidP="00D0777B">
            <w:pPr>
              <w:pStyle w:val="Prrafodelista"/>
              <w:ind w:left="0"/>
              <w:jc w:val="both"/>
              <w:rPr>
                <w:rFonts w:ascii="Arial" w:hAnsi="Arial" w:cs="Arial"/>
              </w:rPr>
            </w:pPr>
          </w:p>
        </w:tc>
        <w:tc>
          <w:tcPr>
            <w:tcW w:w="4111" w:type="dxa"/>
          </w:tcPr>
          <w:p w:rsidR="00274906" w:rsidRPr="00B729BA" w:rsidRDefault="00274906" w:rsidP="00D0777B">
            <w:pPr>
              <w:jc w:val="both"/>
              <w:rPr>
                <w:rFonts w:ascii="Arial" w:hAnsi="Arial" w:cs="Arial"/>
              </w:rPr>
            </w:pPr>
            <w:r w:rsidRPr="00B729BA">
              <w:rPr>
                <w:rFonts w:ascii="Arial" w:hAnsi="Arial" w:cs="Arial"/>
              </w:rPr>
              <w:lastRenderedPageBreak/>
              <w:t>Q</w:t>
            </w:r>
            <w:r w:rsidRPr="00B729BA">
              <w:rPr>
                <w:rFonts w:ascii="Arial" w:hAnsi="Arial" w:cs="Arial"/>
              </w:rPr>
              <w:t xml:space="preserve">ue </w:t>
            </w:r>
            <w:r w:rsidRPr="00B729BA">
              <w:rPr>
                <w:rFonts w:ascii="Arial" w:hAnsi="Arial" w:cs="Arial"/>
              </w:rPr>
              <w:t>la</w:t>
            </w:r>
            <w:r w:rsidRPr="00B729BA">
              <w:rPr>
                <w:rFonts w:ascii="Arial" w:hAnsi="Arial" w:cs="Arial"/>
              </w:rPr>
              <w:t xml:space="preserve"> Coordina</w:t>
            </w:r>
            <w:r w:rsidRPr="00B729BA">
              <w:rPr>
                <w:rFonts w:ascii="Arial" w:hAnsi="Arial" w:cs="Arial"/>
              </w:rPr>
              <w:t>ción</w:t>
            </w:r>
            <w:r w:rsidRPr="00B729BA">
              <w:rPr>
                <w:rFonts w:ascii="Arial" w:hAnsi="Arial" w:cs="Arial"/>
              </w:rPr>
              <w:t xml:space="preserve"> General Académic</w:t>
            </w:r>
            <w:r w:rsidRPr="00B729BA">
              <w:rPr>
                <w:rFonts w:ascii="Arial" w:hAnsi="Arial" w:cs="Arial"/>
              </w:rPr>
              <w:t>a</w:t>
            </w:r>
            <w:r w:rsidRPr="00B729BA">
              <w:rPr>
                <w:rFonts w:ascii="Arial" w:hAnsi="Arial" w:cs="Arial"/>
              </w:rPr>
              <w:t xml:space="preserve"> presente un informe </w:t>
            </w:r>
            <w:r w:rsidR="00FE71AA" w:rsidRPr="00B729BA">
              <w:rPr>
                <w:rFonts w:ascii="Arial" w:hAnsi="Arial" w:cs="Arial"/>
              </w:rPr>
              <w:t>al Consejo de Rectores sobre</w:t>
            </w:r>
            <w:r w:rsidRPr="00B729BA">
              <w:rPr>
                <w:rFonts w:ascii="Arial" w:hAnsi="Arial" w:cs="Arial"/>
              </w:rPr>
              <w:t xml:space="preserve"> los avances</w:t>
            </w:r>
            <w:r w:rsidR="00FE71AA" w:rsidRPr="00B729BA">
              <w:rPr>
                <w:rFonts w:ascii="Arial" w:hAnsi="Arial" w:cs="Arial"/>
              </w:rPr>
              <w:t xml:space="preserve"> del Acuerdo de Flexibilidad Curricular</w:t>
            </w:r>
            <w:r w:rsidRPr="00B729BA">
              <w:rPr>
                <w:rFonts w:ascii="Arial" w:hAnsi="Arial" w:cs="Arial"/>
              </w:rPr>
              <w:t>, para ello deberá solicitar información a las siguientes dependencias y comisiones:</w:t>
            </w:r>
          </w:p>
          <w:p w:rsidR="00274906" w:rsidRPr="00B729BA" w:rsidRDefault="00274906" w:rsidP="00D0777B">
            <w:pPr>
              <w:pStyle w:val="Prrafodelista"/>
              <w:ind w:left="1080"/>
              <w:jc w:val="both"/>
              <w:rPr>
                <w:rFonts w:ascii="Arial" w:hAnsi="Arial" w:cs="Arial"/>
              </w:rPr>
            </w:pPr>
          </w:p>
          <w:p w:rsidR="00274906" w:rsidRPr="00B729BA" w:rsidRDefault="00274906" w:rsidP="00D0777B">
            <w:pPr>
              <w:pStyle w:val="Prrafodelista"/>
              <w:numPr>
                <w:ilvl w:val="0"/>
                <w:numId w:val="6"/>
              </w:numPr>
              <w:ind w:left="849"/>
              <w:contextualSpacing w:val="0"/>
              <w:jc w:val="both"/>
              <w:rPr>
                <w:rFonts w:ascii="Arial" w:hAnsi="Arial" w:cs="Arial"/>
              </w:rPr>
            </w:pPr>
            <w:r w:rsidRPr="00B729BA">
              <w:rPr>
                <w:rFonts w:ascii="Arial" w:hAnsi="Arial" w:cs="Arial"/>
              </w:rPr>
              <w:t>Coordinación General de Tecnologías de la Información</w:t>
            </w:r>
          </w:p>
          <w:p w:rsidR="00274906" w:rsidRPr="00B729BA" w:rsidRDefault="00274906" w:rsidP="00D0777B">
            <w:pPr>
              <w:pStyle w:val="Prrafodelista"/>
              <w:numPr>
                <w:ilvl w:val="0"/>
                <w:numId w:val="6"/>
              </w:numPr>
              <w:ind w:left="849"/>
              <w:contextualSpacing w:val="0"/>
              <w:jc w:val="both"/>
              <w:rPr>
                <w:rFonts w:ascii="Arial" w:hAnsi="Arial" w:cs="Arial"/>
              </w:rPr>
            </w:pPr>
            <w:r w:rsidRPr="00B729BA">
              <w:rPr>
                <w:rFonts w:ascii="Arial" w:hAnsi="Arial" w:cs="Arial"/>
              </w:rPr>
              <w:t>Coordinación de Control Escolar de la Administración General</w:t>
            </w:r>
          </w:p>
          <w:p w:rsidR="00274906" w:rsidRPr="00B729BA" w:rsidRDefault="00274906" w:rsidP="00D0777B">
            <w:pPr>
              <w:pStyle w:val="Prrafodelista"/>
              <w:numPr>
                <w:ilvl w:val="0"/>
                <w:numId w:val="6"/>
              </w:numPr>
              <w:ind w:left="849"/>
              <w:contextualSpacing w:val="0"/>
              <w:jc w:val="both"/>
              <w:rPr>
                <w:rFonts w:ascii="Arial" w:hAnsi="Arial" w:cs="Arial"/>
              </w:rPr>
            </w:pPr>
            <w:r w:rsidRPr="00B729BA">
              <w:rPr>
                <w:rFonts w:ascii="Arial" w:hAnsi="Arial" w:cs="Arial"/>
              </w:rPr>
              <w:t>Oficina del Abogado General</w:t>
            </w:r>
          </w:p>
          <w:p w:rsidR="00274906" w:rsidRPr="00B729BA" w:rsidRDefault="00274906" w:rsidP="00D0777B">
            <w:pPr>
              <w:pStyle w:val="Prrafodelista"/>
              <w:numPr>
                <w:ilvl w:val="0"/>
                <w:numId w:val="6"/>
              </w:numPr>
              <w:ind w:left="849"/>
              <w:contextualSpacing w:val="0"/>
              <w:jc w:val="both"/>
              <w:rPr>
                <w:rFonts w:ascii="Arial" w:hAnsi="Arial" w:cs="Arial"/>
              </w:rPr>
            </w:pPr>
            <w:r w:rsidRPr="00B729BA">
              <w:rPr>
                <w:rFonts w:ascii="Arial" w:hAnsi="Arial" w:cs="Arial"/>
              </w:rPr>
              <w:t>Comisión de Rectores designada para trabajar la parte académica de este tema.</w:t>
            </w:r>
          </w:p>
          <w:p w:rsidR="00274906" w:rsidRPr="00B729BA" w:rsidRDefault="00274906" w:rsidP="00D0777B">
            <w:pPr>
              <w:jc w:val="both"/>
              <w:rPr>
                <w:rFonts w:ascii="Arial" w:hAnsi="Arial" w:cs="Arial"/>
              </w:rPr>
            </w:pPr>
          </w:p>
        </w:tc>
        <w:tc>
          <w:tcPr>
            <w:tcW w:w="4253" w:type="dxa"/>
          </w:tcPr>
          <w:p w:rsidR="00274906" w:rsidRPr="00B729BA" w:rsidRDefault="00274906" w:rsidP="00D0777B">
            <w:pPr>
              <w:jc w:val="both"/>
              <w:rPr>
                <w:rFonts w:ascii="Arial" w:hAnsi="Arial" w:cs="Arial"/>
              </w:rPr>
            </w:pPr>
          </w:p>
        </w:tc>
      </w:tr>
    </w:tbl>
    <w:p w:rsidR="00274906" w:rsidRDefault="00274906" w:rsidP="00D0777B">
      <w:pPr>
        <w:pStyle w:val="Prrafodelista"/>
        <w:spacing w:after="0" w:line="240" w:lineRule="auto"/>
        <w:jc w:val="both"/>
        <w:rPr>
          <w:rFonts w:ascii="Arial" w:hAnsi="Arial" w:cs="Arial"/>
        </w:rPr>
      </w:pPr>
    </w:p>
    <w:p w:rsidR="00274906" w:rsidRDefault="00274906" w:rsidP="00D0777B">
      <w:pPr>
        <w:pStyle w:val="Prrafodelista"/>
        <w:spacing w:after="0" w:line="240" w:lineRule="auto"/>
        <w:jc w:val="both"/>
        <w:rPr>
          <w:rFonts w:ascii="Arial" w:hAnsi="Arial" w:cs="Arial"/>
        </w:rPr>
      </w:pPr>
    </w:p>
    <w:p w:rsidR="00B729BA" w:rsidRDefault="00B729BA" w:rsidP="00D0777B">
      <w:pPr>
        <w:pStyle w:val="Prrafodelista"/>
        <w:spacing w:after="0" w:line="240" w:lineRule="auto"/>
        <w:jc w:val="both"/>
        <w:rPr>
          <w:rFonts w:ascii="Arial" w:hAnsi="Arial" w:cs="Arial"/>
        </w:rPr>
      </w:pPr>
    </w:p>
    <w:tbl>
      <w:tblPr>
        <w:tblStyle w:val="Tablaconcuadrcula"/>
        <w:tblW w:w="13575" w:type="dxa"/>
        <w:tblLook w:val="04A0" w:firstRow="1" w:lastRow="0" w:firstColumn="1" w:lastColumn="0" w:noHBand="0" w:noVBand="1"/>
      </w:tblPr>
      <w:tblGrid>
        <w:gridCol w:w="5211"/>
        <w:gridCol w:w="4111"/>
        <w:gridCol w:w="4253"/>
      </w:tblGrid>
      <w:tr w:rsidR="00B729BA" w:rsidRPr="00A348C3" w:rsidTr="00D0777B">
        <w:trPr>
          <w:tblHeader/>
        </w:trPr>
        <w:tc>
          <w:tcPr>
            <w:tcW w:w="5211" w:type="dxa"/>
            <w:shd w:val="clear" w:color="auto" w:fill="A6A6A6" w:themeFill="background1" w:themeFillShade="A6"/>
            <w:vAlign w:val="center"/>
          </w:tcPr>
          <w:p w:rsidR="00B729BA" w:rsidRDefault="00B729BA" w:rsidP="00D0777B">
            <w:pPr>
              <w:jc w:val="center"/>
              <w:rPr>
                <w:rFonts w:ascii="Arial" w:hAnsi="Arial" w:cs="Arial"/>
                <w:b/>
              </w:rPr>
            </w:pPr>
            <w:r>
              <w:rPr>
                <w:rFonts w:ascii="Arial" w:hAnsi="Arial" w:cs="Arial"/>
                <w:b/>
              </w:rPr>
              <w:t>Acreditación</w:t>
            </w:r>
          </w:p>
        </w:tc>
        <w:tc>
          <w:tcPr>
            <w:tcW w:w="4111" w:type="dxa"/>
            <w:shd w:val="clear" w:color="auto" w:fill="A6A6A6" w:themeFill="background1" w:themeFillShade="A6"/>
            <w:vAlign w:val="center"/>
          </w:tcPr>
          <w:p w:rsidR="00B729BA" w:rsidRPr="00A348C3" w:rsidRDefault="00B729BA" w:rsidP="00D0777B">
            <w:pPr>
              <w:jc w:val="center"/>
              <w:rPr>
                <w:rFonts w:ascii="Arial" w:hAnsi="Arial" w:cs="Arial"/>
                <w:b/>
              </w:rPr>
            </w:pPr>
            <w:r>
              <w:rPr>
                <w:rFonts w:ascii="Arial" w:hAnsi="Arial" w:cs="Arial"/>
                <w:b/>
              </w:rPr>
              <w:t>Propuesta</w:t>
            </w:r>
          </w:p>
        </w:tc>
        <w:tc>
          <w:tcPr>
            <w:tcW w:w="4253" w:type="dxa"/>
            <w:shd w:val="clear" w:color="auto" w:fill="A6A6A6" w:themeFill="background1" w:themeFillShade="A6"/>
            <w:vAlign w:val="center"/>
          </w:tcPr>
          <w:p w:rsidR="00B729BA" w:rsidRPr="00A348C3" w:rsidRDefault="00B729BA" w:rsidP="00D0777B">
            <w:pPr>
              <w:jc w:val="center"/>
              <w:rPr>
                <w:rFonts w:ascii="Arial" w:hAnsi="Arial" w:cs="Arial"/>
                <w:b/>
              </w:rPr>
            </w:pPr>
            <w:r>
              <w:rPr>
                <w:rFonts w:ascii="Arial" w:hAnsi="Arial" w:cs="Arial"/>
                <w:b/>
              </w:rPr>
              <w:t>Comentario</w:t>
            </w:r>
          </w:p>
        </w:tc>
      </w:tr>
      <w:tr w:rsidR="00B729BA" w:rsidRPr="00B729BA" w:rsidTr="00AE417C">
        <w:tc>
          <w:tcPr>
            <w:tcW w:w="5211" w:type="dxa"/>
          </w:tcPr>
          <w:p w:rsidR="00D0777B" w:rsidRDefault="00D0777B" w:rsidP="00D0777B">
            <w:pPr>
              <w:jc w:val="both"/>
              <w:rPr>
                <w:rFonts w:ascii="Arial" w:hAnsi="Arial" w:cs="Arial"/>
                <w:b/>
              </w:rPr>
            </w:pPr>
          </w:p>
          <w:p w:rsidR="00B729BA" w:rsidRPr="00B729BA" w:rsidRDefault="00B729BA" w:rsidP="00D0777B">
            <w:pPr>
              <w:jc w:val="both"/>
              <w:rPr>
                <w:rFonts w:ascii="Arial" w:hAnsi="Arial" w:cs="Arial"/>
              </w:rPr>
            </w:pPr>
            <w:r>
              <w:rPr>
                <w:rFonts w:ascii="Arial" w:hAnsi="Arial" w:cs="Arial"/>
                <w:b/>
              </w:rPr>
              <w:t>Observaciones y Recomendaciones de los CIEES y organismos acreditadores</w:t>
            </w:r>
          </w:p>
        </w:tc>
        <w:tc>
          <w:tcPr>
            <w:tcW w:w="4111" w:type="dxa"/>
          </w:tcPr>
          <w:p w:rsidR="00B729BA" w:rsidRDefault="00B729BA" w:rsidP="00D0777B">
            <w:pPr>
              <w:jc w:val="both"/>
              <w:rPr>
                <w:rFonts w:ascii="Arial" w:hAnsi="Arial" w:cs="Arial"/>
              </w:rPr>
            </w:pPr>
            <w:r>
              <w:rPr>
                <w:rFonts w:ascii="Arial" w:hAnsi="Arial" w:cs="Arial"/>
              </w:rPr>
              <w:t xml:space="preserve">Deben revisarse a profundidad las  </w:t>
            </w:r>
            <w:r>
              <w:rPr>
                <w:rFonts w:ascii="Arial" w:hAnsi="Arial" w:cs="Arial"/>
              </w:rPr>
              <w:t>observaciones</w:t>
            </w:r>
            <w:r>
              <w:rPr>
                <w:rFonts w:ascii="Arial" w:hAnsi="Arial" w:cs="Arial"/>
              </w:rPr>
              <w:t xml:space="preserve"> y recomendaciones de los organismos acreditadores. </w:t>
            </w:r>
          </w:p>
          <w:p w:rsidR="00B729BA" w:rsidRDefault="00B729BA" w:rsidP="00D0777B">
            <w:pPr>
              <w:jc w:val="both"/>
              <w:rPr>
                <w:rFonts w:ascii="Arial" w:hAnsi="Arial" w:cs="Arial"/>
              </w:rPr>
            </w:pPr>
          </w:p>
          <w:p w:rsidR="00B729BA" w:rsidRDefault="00B729BA" w:rsidP="00D0777B">
            <w:pPr>
              <w:jc w:val="both"/>
              <w:rPr>
                <w:rFonts w:ascii="Arial" w:hAnsi="Arial" w:cs="Arial"/>
              </w:rPr>
            </w:pPr>
            <w:r>
              <w:rPr>
                <w:rFonts w:ascii="Arial" w:hAnsi="Arial" w:cs="Arial"/>
              </w:rPr>
              <w:t xml:space="preserve">Que permita identificar con precisión las fortalezas y debilidades por PE (independientemente de la sede) con el fin de construir una estrategia institucional para efectos de acreditación o </w:t>
            </w:r>
            <w:proofErr w:type="spellStart"/>
            <w:r>
              <w:rPr>
                <w:rFonts w:ascii="Arial" w:hAnsi="Arial" w:cs="Arial"/>
              </w:rPr>
              <w:t>reacreditación</w:t>
            </w:r>
            <w:proofErr w:type="spellEnd"/>
            <w:r>
              <w:rPr>
                <w:rFonts w:ascii="Arial" w:hAnsi="Arial" w:cs="Arial"/>
              </w:rPr>
              <w:t>.</w:t>
            </w:r>
          </w:p>
          <w:p w:rsidR="00B729BA" w:rsidRDefault="00B729BA" w:rsidP="00D0777B">
            <w:pPr>
              <w:jc w:val="both"/>
              <w:rPr>
                <w:rFonts w:ascii="Arial" w:hAnsi="Arial" w:cs="Arial"/>
              </w:rPr>
            </w:pPr>
          </w:p>
          <w:p w:rsidR="00B729BA" w:rsidRDefault="00B729BA" w:rsidP="00D0777B">
            <w:pPr>
              <w:jc w:val="both"/>
              <w:rPr>
                <w:rFonts w:ascii="Arial" w:hAnsi="Arial" w:cs="Arial"/>
              </w:rPr>
            </w:pPr>
            <w:r>
              <w:rPr>
                <w:rFonts w:ascii="Arial" w:hAnsi="Arial" w:cs="Arial"/>
              </w:rPr>
              <w:t>Para lo cual se propone lo siguiente:</w:t>
            </w:r>
          </w:p>
          <w:p w:rsidR="00B729BA" w:rsidRDefault="00B729BA" w:rsidP="00D0777B">
            <w:pPr>
              <w:jc w:val="both"/>
              <w:rPr>
                <w:rFonts w:ascii="Arial" w:hAnsi="Arial" w:cs="Arial"/>
              </w:rPr>
            </w:pPr>
          </w:p>
          <w:p w:rsidR="00BC7331" w:rsidRDefault="00B729BA" w:rsidP="00D0777B">
            <w:pPr>
              <w:pStyle w:val="Prrafodelista"/>
              <w:numPr>
                <w:ilvl w:val="0"/>
                <w:numId w:val="10"/>
              </w:numPr>
              <w:ind w:left="459"/>
              <w:jc w:val="both"/>
              <w:rPr>
                <w:rFonts w:ascii="Arial" w:hAnsi="Arial" w:cs="Arial"/>
              </w:rPr>
            </w:pPr>
            <w:r>
              <w:rPr>
                <w:rFonts w:ascii="Arial" w:hAnsi="Arial" w:cs="Arial"/>
              </w:rPr>
              <w:t>Que los coordinadores de carrera de cada PE tengan acceso a la información de SISECA y analicen las observaciones y recomendaciones</w:t>
            </w:r>
            <w:r w:rsidR="00BC7331">
              <w:rPr>
                <w:rFonts w:ascii="Arial" w:hAnsi="Arial" w:cs="Arial"/>
              </w:rPr>
              <w:t xml:space="preserve"> del PE en todas las sedes.</w:t>
            </w:r>
          </w:p>
          <w:p w:rsidR="00BC7331" w:rsidRDefault="00BC7331" w:rsidP="00D0777B">
            <w:pPr>
              <w:pStyle w:val="Prrafodelista"/>
              <w:ind w:left="459"/>
              <w:jc w:val="both"/>
              <w:rPr>
                <w:rFonts w:ascii="Arial" w:hAnsi="Arial" w:cs="Arial"/>
              </w:rPr>
            </w:pPr>
          </w:p>
          <w:p w:rsidR="00BC7331" w:rsidRDefault="00BC7331" w:rsidP="00D0777B">
            <w:pPr>
              <w:pStyle w:val="Prrafodelista"/>
              <w:numPr>
                <w:ilvl w:val="0"/>
                <w:numId w:val="10"/>
              </w:numPr>
              <w:ind w:left="459"/>
              <w:jc w:val="both"/>
              <w:rPr>
                <w:rFonts w:ascii="Arial" w:hAnsi="Arial" w:cs="Arial"/>
              </w:rPr>
            </w:pPr>
            <w:r>
              <w:rPr>
                <w:rFonts w:ascii="Arial" w:hAnsi="Arial" w:cs="Arial"/>
              </w:rPr>
              <w:t xml:space="preserve">Que construyan propuestas </w:t>
            </w:r>
            <w:r w:rsidR="00B729BA">
              <w:rPr>
                <w:rFonts w:ascii="Arial" w:hAnsi="Arial" w:cs="Arial"/>
              </w:rPr>
              <w:t xml:space="preserve"> </w:t>
            </w:r>
            <w:r>
              <w:rPr>
                <w:rFonts w:ascii="Arial" w:hAnsi="Arial" w:cs="Arial"/>
              </w:rPr>
              <w:t>donde entre otros aspectos</w:t>
            </w:r>
            <w:r w:rsidR="00B77471">
              <w:rPr>
                <w:rFonts w:ascii="Arial" w:hAnsi="Arial" w:cs="Arial"/>
              </w:rPr>
              <w:t>,</w:t>
            </w:r>
            <w:r>
              <w:rPr>
                <w:rFonts w:ascii="Arial" w:hAnsi="Arial" w:cs="Arial"/>
              </w:rPr>
              <w:t xml:space="preserve"> compartan fortalezas y propongan </w:t>
            </w:r>
            <w:r w:rsidR="00B77471">
              <w:rPr>
                <w:rFonts w:ascii="Arial" w:hAnsi="Arial" w:cs="Arial"/>
              </w:rPr>
              <w:t>acciones</w:t>
            </w:r>
            <w:r>
              <w:rPr>
                <w:rFonts w:ascii="Arial" w:hAnsi="Arial" w:cs="Arial"/>
              </w:rPr>
              <w:t xml:space="preserve"> para lograr la acreditación o </w:t>
            </w:r>
            <w:proofErr w:type="spellStart"/>
            <w:r>
              <w:rPr>
                <w:rFonts w:ascii="Arial" w:hAnsi="Arial" w:cs="Arial"/>
              </w:rPr>
              <w:t>reacreditación</w:t>
            </w:r>
            <w:proofErr w:type="spellEnd"/>
            <w:r w:rsidR="00B77471">
              <w:rPr>
                <w:rFonts w:ascii="Arial" w:hAnsi="Arial" w:cs="Arial"/>
              </w:rPr>
              <w:t xml:space="preserve"> de los PE.</w:t>
            </w:r>
          </w:p>
          <w:p w:rsidR="00BC7331" w:rsidRPr="00BC7331" w:rsidRDefault="00BC7331" w:rsidP="00D0777B">
            <w:pPr>
              <w:pStyle w:val="Prrafodelista"/>
              <w:jc w:val="both"/>
              <w:rPr>
                <w:rFonts w:ascii="Arial" w:hAnsi="Arial" w:cs="Arial"/>
              </w:rPr>
            </w:pPr>
          </w:p>
          <w:p w:rsidR="00B729BA" w:rsidRDefault="00BC7331" w:rsidP="00D0777B">
            <w:pPr>
              <w:pStyle w:val="Prrafodelista"/>
              <w:numPr>
                <w:ilvl w:val="0"/>
                <w:numId w:val="10"/>
              </w:numPr>
              <w:ind w:left="459"/>
              <w:jc w:val="both"/>
              <w:rPr>
                <w:rFonts w:ascii="Arial" w:hAnsi="Arial" w:cs="Arial"/>
              </w:rPr>
            </w:pPr>
            <w:r>
              <w:rPr>
                <w:rFonts w:ascii="Arial" w:hAnsi="Arial" w:cs="Arial"/>
              </w:rPr>
              <w:t>Propongan una postura institucional la cual debe ser analizada por el Consejo de Rectores para ponerse a consideración de ANUIES o en su caso del organismo acreditador.</w:t>
            </w:r>
          </w:p>
          <w:p w:rsidR="00B77471" w:rsidRPr="00B77471" w:rsidRDefault="00B77471" w:rsidP="00D0777B">
            <w:pPr>
              <w:pStyle w:val="Prrafodelista"/>
              <w:jc w:val="both"/>
              <w:rPr>
                <w:rFonts w:ascii="Arial" w:hAnsi="Arial" w:cs="Arial"/>
              </w:rPr>
            </w:pPr>
          </w:p>
          <w:p w:rsidR="00B77471" w:rsidRPr="00B77471" w:rsidRDefault="00B77471" w:rsidP="00D0777B">
            <w:pPr>
              <w:pStyle w:val="Prrafodelista"/>
              <w:numPr>
                <w:ilvl w:val="0"/>
                <w:numId w:val="10"/>
              </w:numPr>
              <w:ind w:left="459"/>
              <w:jc w:val="both"/>
              <w:rPr>
                <w:rFonts w:ascii="Arial" w:hAnsi="Arial" w:cs="Arial"/>
              </w:rPr>
            </w:pPr>
            <w:r w:rsidRPr="00B77471">
              <w:rPr>
                <w:rFonts w:ascii="Arial" w:hAnsi="Arial" w:cs="Arial"/>
              </w:rPr>
              <w:t xml:space="preserve">Es importante identificar  con precisión los riesgos que tenemos de no lograr la </w:t>
            </w:r>
            <w:proofErr w:type="spellStart"/>
            <w:r w:rsidRPr="00B77471">
              <w:rPr>
                <w:rFonts w:ascii="Arial" w:hAnsi="Arial" w:cs="Arial"/>
              </w:rPr>
              <w:t>reacreditación</w:t>
            </w:r>
            <w:proofErr w:type="spellEnd"/>
            <w:r w:rsidRPr="00B77471">
              <w:rPr>
                <w:rFonts w:ascii="Arial" w:hAnsi="Arial" w:cs="Arial"/>
              </w:rPr>
              <w:t xml:space="preserve"> de algunos PE, para tomar las medidas oportunas en forma institucional.</w:t>
            </w:r>
          </w:p>
          <w:p w:rsidR="00B77471" w:rsidRPr="00B729BA" w:rsidRDefault="00B77471" w:rsidP="00D0777B">
            <w:pPr>
              <w:pStyle w:val="Prrafodelista"/>
              <w:ind w:left="459"/>
              <w:jc w:val="both"/>
              <w:rPr>
                <w:rFonts w:ascii="Arial" w:hAnsi="Arial" w:cs="Arial"/>
              </w:rPr>
            </w:pPr>
          </w:p>
        </w:tc>
        <w:tc>
          <w:tcPr>
            <w:tcW w:w="4253" w:type="dxa"/>
          </w:tcPr>
          <w:p w:rsidR="00B77471" w:rsidRDefault="00B77471" w:rsidP="00D0777B">
            <w:pPr>
              <w:jc w:val="both"/>
              <w:rPr>
                <w:rFonts w:ascii="Arial" w:hAnsi="Arial" w:cs="Arial"/>
              </w:rPr>
            </w:pPr>
            <w:r>
              <w:rPr>
                <w:rFonts w:ascii="Arial" w:hAnsi="Arial" w:cs="Arial"/>
              </w:rPr>
              <w:lastRenderedPageBreak/>
              <w:t>La Universidad de Guadalajara debe asumir posturas ante ANUIES en relación a algunos criterios de los organismos acreditadores cuando estos están fuera de lugar.</w:t>
            </w:r>
          </w:p>
          <w:p w:rsidR="00B77471" w:rsidRDefault="00B77471" w:rsidP="00D0777B">
            <w:pPr>
              <w:jc w:val="both"/>
              <w:rPr>
                <w:rFonts w:ascii="Arial" w:hAnsi="Arial" w:cs="Arial"/>
              </w:rPr>
            </w:pPr>
          </w:p>
          <w:p w:rsidR="00B77471" w:rsidRDefault="00B77471" w:rsidP="00D0777B">
            <w:pPr>
              <w:jc w:val="both"/>
              <w:rPr>
                <w:rFonts w:ascii="Arial" w:hAnsi="Arial" w:cs="Arial"/>
              </w:rPr>
            </w:pPr>
            <w:r>
              <w:rPr>
                <w:rFonts w:ascii="Arial" w:hAnsi="Arial" w:cs="Arial"/>
              </w:rPr>
              <w:t>La Administración universitaria debe ser congruente con la política de calidad al destinar recursos para atender recomendaciones de los organismos acreditadores, sobre todo para efectos del refrendo de la acreditación.</w:t>
            </w:r>
          </w:p>
          <w:p w:rsidR="00B77471" w:rsidRDefault="00B77471" w:rsidP="00D0777B">
            <w:pPr>
              <w:jc w:val="both"/>
              <w:rPr>
                <w:rFonts w:ascii="Arial" w:hAnsi="Arial" w:cs="Arial"/>
              </w:rPr>
            </w:pPr>
          </w:p>
          <w:p w:rsidR="00B77471" w:rsidRDefault="00B77471" w:rsidP="00D0777B">
            <w:pPr>
              <w:jc w:val="both"/>
              <w:rPr>
                <w:rFonts w:ascii="Arial" w:hAnsi="Arial" w:cs="Arial"/>
              </w:rPr>
            </w:pPr>
            <w:r>
              <w:rPr>
                <w:rFonts w:ascii="Arial" w:hAnsi="Arial" w:cs="Arial"/>
              </w:rPr>
              <w:t>Para ello, se propone contar con un diagnóstico en relaci</w:t>
            </w:r>
            <w:r w:rsidR="0015384D">
              <w:rPr>
                <w:rFonts w:ascii="Arial" w:hAnsi="Arial" w:cs="Arial"/>
              </w:rPr>
              <w:t>ó</w:t>
            </w:r>
            <w:r>
              <w:rPr>
                <w:rFonts w:ascii="Arial" w:hAnsi="Arial" w:cs="Arial"/>
              </w:rPr>
              <w:t xml:space="preserve">n a las observaciones y recomendaciones donde el Consejo de Rectores defina prioridades </w:t>
            </w:r>
            <w:r w:rsidR="0015384D">
              <w:rPr>
                <w:rFonts w:ascii="Arial" w:hAnsi="Arial" w:cs="Arial"/>
              </w:rPr>
              <w:t>y acciones.</w:t>
            </w:r>
          </w:p>
          <w:p w:rsidR="00B77471" w:rsidRDefault="00B77471" w:rsidP="00D0777B">
            <w:pPr>
              <w:jc w:val="both"/>
              <w:rPr>
                <w:rFonts w:ascii="Arial" w:hAnsi="Arial" w:cs="Arial"/>
              </w:rPr>
            </w:pPr>
          </w:p>
          <w:p w:rsidR="00B77471" w:rsidRDefault="00B77471" w:rsidP="00D0777B">
            <w:pPr>
              <w:jc w:val="both"/>
              <w:rPr>
                <w:rFonts w:ascii="Arial" w:hAnsi="Arial" w:cs="Arial"/>
              </w:rPr>
            </w:pPr>
          </w:p>
          <w:p w:rsidR="00B729BA" w:rsidRPr="00B729BA" w:rsidRDefault="00B729BA" w:rsidP="00D0777B">
            <w:pPr>
              <w:jc w:val="both"/>
              <w:rPr>
                <w:rFonts w:ascii="Arial" w:hAnsi="Arial" w:cs="Arial"/>
              </w:rPr>
            </w:pPr>
          </w:p>
        </w:tc>
      </w:tr>
    </w:tbl>
    <w:p w:rsidR="00B729BA" w:rsidRPr="005B49D1" w:rsidRDefault="00B729BA" w:rsidP="005B49D1">
      <w:pPr>
        <w:pStyle w:val="Prrafodelista"/>
        <w:spacing w:after="0" w:line="240" w:lineRule="auto"/>
        <w:rPr>
          <w:rFonts w:ascii="Arial" w:hAnsi="Arial" w:cs="Arial"/>
        </w:rPr>
      </w:pPr>
    </w:p>
    <w:sectPr w:rsidR="00B729BA" w:rsidRPr="005B49D1" w:rsidSect="00140E7A">
      <w:footerReference w:type="default" r:id="rId8"/>
      <w:pgSz w:w="15840" w:h="12240" w:orient="landscape"/>
      <w:pgMar w:top="1701" w:right="1417" w:bottom="1701" w:left="1417"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BB" w:rsidRDefault="00CB79BB" w:rsidP="00140E7A">
      <w:pPr>
        <w:spacing w:after="0" w:line="240" w:lineRule="auto"/>
      </w:pPr>
      <w:r>
        <w:separator/>
      </w:r>
    </w:p>
  </w:endnote>
  <w:endnote w:type="continuationSeparator" w:id="0">
    <w:p w:rsidR="00CB79BB" w:rsidRDefault="00CB79BB" w:rsidP="0014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322425925"/>
      <w:docPartObj>
        <w:docPartGallery w:val="Page Numbers (Bottom of Page)"/>
        <w:docPartUnique/>
      </w:docPartObj>
    </w:sdtPr>
    <w:sdtContent>
      <w:sdt>
        <w:sdtPr>
          <w:rPr>
            <w:rFonts w:ascii="Arial" w:hAnsi="Arial" w:cs="Arial"/>
            <w:sz w:val="18"/>
            <w:szCs w:val="18"/>
          </w:rPr>
          <w:id w:val="860082579"/>
          <w:docPartObj>
            <w:docPartGallery w:val="Page Numbers (Top of Page)"/>
            <w:docPartUnique/>
          </w:docPartObj>
        </w:sdtPr>
        <w:sdtContent>
          <w:p w:rsidR="00140E7A" w:rsidRDefault="00140E7A">
            <w:pPr>
              <w:pStyle w:val="Piedepgina"/>
              <w:jc w:val="right"/>
              <w:rPr>
                <w:rFonts w:ascii="Arial" w:hAnsi="Arial" w:cs="Arial"/>
                <w:b/>
                <w:bCs/>
                <w:sz w:val="18"/>
                <w:szCs w:val="18"/>
              </w:rPr>
            </w:pPr>
            <w:r w:rsidRPr="00140E7A">
              <w:rPr>
                <w:rFonts w:ascii="Arial" w:hAnsi="Arial" w:cs="Arial"/>
                <w:sz w:val="18"/>
                <w:szCs w:val="18"/>
                <w:lang w:val="es-ES"/>
              </w:rPr>
              <w:t xml:space="preserve">Página </w:t>
            </w:r>
            <w:r w:rsidRPr="00140E7A">
              <w:rPr>
                <w:rFonts w:ascii="Arial" w:hAnsi="Arial" w:cs="Arial"/>
                <w:b/>
                <w:bCs/>
                <w:sz w:val="18"/>
                <w:szCs w:val="18"/>
              </w:rPr>
              <w:fldChar w:fldCharType="begin"/>
            </w:r>
            <w:r w:rsidRPr="00140E7A">
              <w:rPr>
                <w:rFonts w:ascii="Arial" w:hAnsi="Arial" w:cs="Arial"/>
                <w:b/>
                <w:bCs/>
                <w:sz w:val="18"/>
                <w:szCs w:val="18"/>
              </w:rPr>
              <w:instrText>PAGE</w:instrText>
            </w:r>
            <w:r w:rsidRPr="00140E7A">
              <w:rPr>
                <w:rFonts w:ascii="Arial" w:hAnsi="Arial" w:cs="Arial"/>
                <w:b/>
                <w:bCs/>
                <w:sz w:val="18"/>
                <w:szCs w:val="18"/>
              </w:rPr>
              <w:fldChar w:fldCharType="separate"/>
            </w:r>
            <w:r w:rsidR="00BA6925">
              <w:rPr>
                <w:rFonts w:ascii="Arial" w:hAnsi="Arial" w:cs="Arial"/>
                <w:b/>
                <w:bCs/>
                <w:noProof/>
                <w:sz w:val="18"/>
                <w:szCs w:val="18"/>
              </w:rPr>
              <w:t>1</w:t>
            </w:r>
            <w:r w:rsidRPr="00140E7A">
              <w:rPr>
                <w:rFonts w:ascii="Arial" w:hAnsi="Arial" w:cs="Arial"/>
                <w:b/>
                <w:bCs/>
                <w:sz w:val="18"/>
                <w:szCs w:val="18"/>
              </w:rPr>
              <w:fldChar w:fldCharType="end"/>
            </w:r>
            <w:r w:rsidRPr="00140E7A">
              <w:rPr>
                <w:rFonts w:ascii="Arial" w:hAnsi="Arial" w:cs="Arial"/>
                <w:sz w:val="18"/>
                <w:szCs w:val="18"/>
                <w:lang w:val="es-ES"/>
              </w:rPr>
              <w:t xml:space="preserve"> de </w:t>
            </w:r>
            <w:r w:rsidRPr="00140E7A">
              <w:rPr>
                <w:rFonts w:ascii="Arial" w:hAnsi="Arial" w:cs="Arial"/>
                <w:b/>
                <w:bCs/>
                <w:sz w:val="18"/>
                <w:szCs w:val="18"/>
              </w:rPr>
              <w:fldChar w:fldCharType="begin"/>
            </w:r>
            <w:r w:rsidRPr="00140E7A">
              <w:rPr>
                <w:rFonts w:ascii="Arial" w:hAnsi="Arial" w:cs="Arial"/>
                <w:b/>
                <w:bCs/>
                <w:sz w:val="18"/>
                <w:szCs w:val="18"/>
              </w:rPr>
              <w:instrText>NUMPAGES</w:instrText>
            </w:r>
            <w:r w:rsidRPr="00140E7A">
              <w:rPr>
                <w:rFonts w:ascii="Arial" w:hAnsi="Arial" w:cs="Arial"/>
                <w:b/>
                <w:bCs/>
                <w:sz w:val="18"/>
                <w:szCs w:val="18"/>
              </w:rPr>
              <w:fldChar w:fldCharType="separate"/>
            </w:r>
            <w:r w:rsidR="00BA6925">
              <w:rPr>
                <w:rFonts w:ascii="Arial" w:hAnsi="Arial" w:cs="Arial"/>
                <w:b/>
                <w:bCs/>
                <w:noProof/>
                <w:sz w:val="18"/>
                <w:szCs w:val="18"/>
              </w:rPr>
              <w:t>8</w:t>
            </w:r>
            <w:r w:rsidRPr="00140E7A">
              <w:rPr>
                <w:rFonts w:ascii="Arial" w:hAnsi="Arial" w:cs="Arial"/>
                <w:b/>
                <w:bCs/>
                <w:sz w:val="18"/>
                <w:szCs w:val="18"/>
              </w:rPr>
              <w:fldChar w:fldCharType="end"/>
            </w:r>
          </w:p>
          <w:p w:rsidR="00140E7A" w:rsidRDefault="00140E7A">
            <w:pPr>
              <w:pStyle w:val="Piedepgina"/>
              <w:jc w:val="right"/>
              <w:rPr>
                <w:rFonts w:ascii="Arial" w:hAnsi="Arial" w:cs="Arial"/>
                <w:bCs/>
                <w:sz w:val="18"/>
                <w:szCs w:val="18"/>
              </w:rPr>
            </w:pPr>
          </w:p>
          <w:p w:rsidR="00140E7A" w:rsidRPr="00140E7A" w:rsidRDefault="00140E7A">
            <w:pPr>
              <w:pStyle w:val="Piedepgina"/>
              <w:jc w:val="right"/>
              <w:rPr>
                <w:rFonts w:ascii="Arial" w:hAnsi="Arial" w:cs="Arial"/>
                <w:bCs/>
                <w:sz w:val="18"/>
                <w:szCs w:val="18"/>
              </w:rPr>
            </w:pPr>
            <w:r w:rsidRPr="00140E7A">
              <w:rPr>
                <w:rFonts w:ascii="Arial" w:hAnsi="Arial" w:cs="Arial"/>
                <w:bCs/>
                <w:sz w:val="18"/>
                <w:szCs w:val="18"/>
              </w:rPr>
              <w:t>Mtra. María Esther Avelar Álvarez</w:t>
            </w:r>
          </w:p>
          <w:p w:rsidR="00140E7A" w:rsidRPr="00140E7A" w:rsidRDefault="00140E7A">
            <w:pPr>
              <w:pStyle w:val="Piedepgina"/>
              <w:jc w:val="right"/>
              <w:rPr>
                <w:rFonts w:ascii="Arial" w:hAnsi="Arial" w:cs="Arial"/>
                <w:sz w:val="18"/>
                <w:szCs w:val="18"/>
              </w:rPr>
            </w:pPr>
            <w:r w:rsidRPr="00140E7A">
              <w:rPr>
                <w:rFonts w:ascii="Arial" w:hAnsi="Arial" w:cs="Arial"/>
                <w:bCs/>
                <w:sz w:val="18"/>
                <w:szCs w:val="18"/>
              </w:rPr>
              <w:t>Rectora del Centro Universitario de los Altos</w:t>
            </w:r>
          </w:p>
        </w:sdtContent>
      </w:sdt>
    </w:sdtContent>
  </w:sdt>
  <w:p w:rsidR="00140E7A" w:rsidRDefault="00140E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BB" w:rsidRDefault="00CB79BB" w:rsidP="00140E7A">
      <w:pPr>
        <w:spacing w:after="0" w:line="240" w:lineRule="auto"/>
      </w:pPr>
      <w:r>
        <w:separator/>
      </w:r>
    </w:p>
  </w:footnote>
  <w:footnote w:type="continuationSeparator" w:id="0">
    <w:p w:rsidR="00CB79BB" w:rsidRDefault="00CB79BB" w:rsidP="00140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03A"/>
    <w:multiLevelType w:val="hybridMultilevel"/>
    <w:tmpl w:val="6ADAC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D17E77"/>
    <w:multiLevelType w:val="hybridMultilevel"/>
    <w:tmpl w:val="0A083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9F25EE"/>
    <w:multiLevelType w:val="hybridMultilevel"/>
    <w:tmpl w:val="DE109A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EF4E97"/>
    <w:multiLevelType w:val="hybridMultilevel"/>
    <w:tmpl w:val="00A896AC"/>
    <w:lvl w:ilvl="0" w:tplc="932435BE">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nsid w:val="290C6B70"/>
    <w:multiLevelType w:val="hybridMultilevel"/>
    <w:tmpl w:val="E134383E"/>
    <w:lvl w:ilvl="0" w:tplc="DDF82F18">
      <w:start w:val="1"/>
      <w:numFmt w:val="bullet"/>
      <w:lvlText w:val=""/>
      <w:lvlJc w:val="left"/>
      <w:pPr>
        <w:ind w:left="2160" w:hanging="360"/>
      </w:pPr>
      <w:rPr>
        <w:rFonts w:ascii="Symbol" w:hAnsi="Symbol"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start w:val="1"/>
      <w:numFmt w:val="bullet"/>
      <w:lvlText w:val=""/>
      <w:lvlJc w:val="left"/>
      <w:pPr>
        <w:ind w:left="5760" w:hanging="360"/>
      </w:pPr>
      <w:rPr>
        <w:rFonts w:ascii="Wingdings" w:hAnsi="Wingdings" w:hint="default"/>
      </w:rPr>
    </w:lvl>
    <w:lvl w:ilvl="6" w:tplc="080A0001">
      <w:start w:val="1"/>
      <w:numFmt w:val="bullet"/>
      <w:lvlText w:val=""/>
      <w:lvlJc w:val="left"/>
      <w:pPr>
        <w:ind w:left="6480" w:hanging="360"/>
      </w:pPr>
      <w:rPr>
        <w:rFonts w:ascii="Symbol" w:hAnsi="Symbol" w:hint="default"/>
      </w:rPr>
    </w:lvl>
    <w:lvl w:ilvl="7" w:tplc="080A0003">
      <w:start w:val="1"/>
      <w:numFmt w:val="bullet"/>
      <w:lvlText w:val="o"/>
      <w:lvlJc w:val="left"/>
      <w:pPr>
        <w:ind w:left="7200" w:hanging="360"/>
      </w:pPr>
      <w:rPr>
        <w:rFonts w:ascii="Courier New" w:hAnsi="Courier New" w:cs="Courier New" w:hint="default"/>
      </w:rPr>
    </w:lvl>
    <w:lvl w:ilvl="8" w:tplc="080A0005">
      <w:start w:val="1"/>
      <w:numFmt w:val="bullet"/>
      <w:lvlText w:val=""/>
      <w:lvlJc w:val="left"/>
      <w:pPr>
        <w:ind w:left="7920" w:hanging="360"/>
      </w:pPr>
      <w:rPr>
        <w:rFonts w:ascii="Wingdings" w:hAnsi="Wingdings" w:hint="default"/>
      </w:rPr>
    </w:lvl>
  </w:abstractNum>
  <w:abstractNum w:abstractNumId="5">
    <w:nsid w:val="2B466181"/>
    <w:multiLevelType w:val="hybridMultilevel"/>
    <w:tmpl w:val="87B49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AB7D7A"/>
    <w:multiLevelType w:val="hybridMultilevel"/>
    <w:tmpl w:val="F98E5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7E2FC0"/>
    <w:multiLevelType w:val="hybridMultilevel"/>
    <w:tmpl w:val="C94E6E30"/>
    <w:lvl w:ilvl="0" w:tplc="2568666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4D3A6AE7"/>
    <w:multiLevelType w:val="hybridMultilevel"/>
    <w:tmpl w:val="E2102A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12330C"/>
    <w:multiLevelType w:val="hybridMultilevel"/>
    <w:tmpl w:val="31BC45C0"/>
    <w:lvl w:ilvl="0" w:tplc="080A0005">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start w:val="1"/>
      <w:numFmt w:val="bullet"/>
      <w:lvlText w:val=""/>
      <w:lvlJc w:val="left"/>
      <w:pPr>
        <w:ind w:left="5760" w:hanging="360"/>
      </w:pPr>
      <w:rPr>
        <w:rFonts w:ascii="Wingdings" w:hAnsi="Wingdings" w:hint="default"/>
      </w:rPr>
    </w:lvl>
    <w:lvl w:ilvl="6" w:tplc="080A0001">
      <w:start w:val="1"/>
      <w:numFmt w:val="bullet"/>
      <w:lvlText w:val=""/>
      <w:lvlJc w:val="left"/>
      <w:pPr>
        <w:ind w:left="6480" w:hanging="360"/>
      </w:pPr>
      <w:rPr>
        <w:rFonts w:ascii="Symbol" w:hAnsi="Symbol" w:hint="default"/>
      </w:rPr>
    </w:lvl>
    <w:lvl w:ilvl="7" w:tplc="080A0003">
      <w:start w:val="1"/>
      <w:numFmt w:val="bullet"/>
      <w:lvlText w:val="o"/>
      <w:lvlJc w:val="left"/>
      <w:pPr>
        <w:ind w:left="7200" w:hanging="360"/>
      </w:pPr>
      <w:rPr>
        <w:rFonts w:ascii="Courier New" w:hAnsi="Courier New" w:cs="Courier New" w:hint="default"/>
      </w:rPr>
    </w:lvl>
    <w:lvl w:ilvl="8" w:tplc="080A0005">
      <w:start w:val="1"/>
      <w:numFmt w:val="bullet"/>
      <w:lvlText w:val=""/>
      <w:lvlJc w:val="left"/>
      <w:pPr>
        <w:ind w:left="792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C3"/>
    <w:rsid w:val="000D6C37"/>
    <w:rsid w:val="00140E7A"/>
    <w:rsid w:val="0015384D"/>
    <w:rsid w:val="00274906"/>
    <w:rsid w:val="00315A91"/>
    <w:rsid w:val="003201BB"/>
    <w:rsid w:val="00336976"/>
    <w:rsid w:val="0042550C"/>
    <w:rsid w:val="00511A78"/>
    <w:rsid w:val="005B49D1"/>
    <w:rsid w:val="005B6FBA"/>
    <w:rsid w:val="005B71E1"/>
    <w:rsid w:val="00610D95"/>
    <w:rsid w:val="007C2D16"/>
    <w:rsid w:val="007F6FCB"/>
    <w:rsid w:val="00A348C3"/>
    <w:rsid w:val="00B729BA"/>
    <w:rsid w:val="00B77471"/>
    <w:rsid w:val="00BA6925"/>
    <w:rsid w:val="00BC7331"/>
    <w:rsid w:val="00CB79BB"/>
    <w:rsid w:val="00D0777B"/>
    <w:rsid w:val="00D31503"/>
    <w:rsid w:val="00D44889"/>
    <w:rsid w:val="00D46EF4"/>
    <w:rsid w:val="00D90E7B"/>
    <w:rsid w:val="00DD1207"/>
    <w:rsid w:val="00E50E1D"/>
    <w:rsid w:val="00EA15C9"/>
    <w:rsid w:val="00FE7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4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6EF4"/>
    <w:pPr>
      <w:ind w:left="720"/>
      <w:contextualSpacing/>
    </w:pPr>
  </w:style>
  <w:style w:type="paragraph" w:styleId="Encabezado">
    <w:name w:val="header"/>
    <w:basedOn w:val="Normal"/>
    <w:link w:val="EncabezadoCar"/>
    <w:uiPriority w:val="99"/>
    <w:unhideWhenUsed/>
    <w:rsid w:val="00140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0E7A"/>
  </w:style>
  <w:style w:type="paragraph" w:styleId="Piedepgina">
    <w:name w:val="footer"/>
    <w:basedOn w:val="Normal"/>
    <w:link w:val="PiedepginaCar"/>
    <w:uiPriority w:val="99"/>
    <w:unhideWhenUsed/>
    <w:rsid w:val="00140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0E7A"/>
  </w:style>
  <w:style w:type="paragraph" w:styleId="Textodeglobo">
    <w:name w:val="Balloon Text"/>
    <w:basedOn w:val="Normal"/>
    <w:link w:val="TextodegloboCar"/>
    <w:uiPriority w:val="99"/>
    <w:semiHidden/>
    <w:unhideWhenUsed/>
    <w:rsid w:val="00DD12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4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6EF4"/>
    <w:pPr>
      <w:ind w:left="720"/>
      <w:contextualSpacing/>
    </w:pPr>
  </w:style>
  <w:style w:type="paragraph" w:styleId="Encabezado">
    <w:name w:val="header"/>
    <w:basedOn w:val="Normal"/>
    <w:link w:val="EncabezadoCar"/>
    <w:uiPriority w:val="99"/>
    <w:unhideWhenUsed/>
    <w:rsid w:val="00140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0E7A"/>
  </w:style>
  <w:style w:type="paragraph" w:styleId="Piedepgina">
    <w:name w:val="footer"/>
    <w:basedOn w:val="Normal"/>
    <w:link w:val="PiedepginaCar"/>
    <w:uiPriority w:val="99"/>
    <w:unhideWhenUsed/>
    <w:rsid w:val="00140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0E7A"/>
  </w:style>
  <w:style w:type="paragraph" w:styleId="Textodeglobo">
    <w:name w:val="Balloon Text"/>
    <w:basedOn w:val="Normal"/>
    <w:link w:val="TextodegloboCar"/>
    <w:uiPriority w:val="99"/>
    <w:semiHidden/>
    <w:unhideWhenUsed/>
    <w:rsid w:val="00DD12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Esther Avelar Álvarez</dc:creator>
  <cp:lastModifiedBy>María Esther Avelar Álvarez</cp:lastModifiedBy>
  <cp:revision>3</cp:revision>
  <cp:lastPrinted>2012-12-06T04:17:00Z</cp:lastPrinted>
  <dcterms:created xsi:type="dcterms:W3CDTF">2012-12-06T04:17:00Z</dcterms:created>
  <dcterms:modified xsi:type="dcterms:W3CDTF">2012-12-06T04:17:00Z</dcterms:modified>
</cp:coreProperties>
</file>